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b/>
          <w:spacing w:val="12"/>
          <w:sz w:val="36"/>
        </w:rPr>
      </w:pPr>
      <w:r>
        <w:rPr>
          <w:rFonts w:hint="eastAsia"/>
          <w:b/>
          <w:spacing w:val="12"/>
          <w:sz w:val="36"/>
        </w:rPr>
        <w:t>拟推荐</w:t>
      </w:r>
      <w:r>
        <w:rPr>
          <w:b/>
          <w:spacing w:val="12"/>
          <w:sz w:val="36"/>
        </w:rPr>
        <w:t>20</w:t>
      </w:r>
      <w:r>
        <w:rPr>
          <w:rFonts w:hint="eastAsia"/>
          <w:b/>
          <w:spacing w:val="12"/>
          <w:sz w:val="36"/>
        </w:rPr>
        <w:t>20年广东医学科技奖候选项目/候选人</w:t>
      </w:r>
    </w:p>
    <w:p>
      <w:pPr>
        <w:jc w:val="center"/>
        <w:rPr>
          <w:rFonts w:ascii="仿宋" w:hAnsi="仿宋" w:eastAsia="仿宋"/>
          <w:color w:val="0D0D0D"/>
          <w:spacing w:val="2"/>
          <w:sz w:val="32"/>
          <w:szCs w:val="32"/>
        </w:rPr>
      </w:pPr>
      <w:r>
        <w:rPr>
          <w:rFonts w:hint="eastAsia"/>
          <w:b/>
          <w:spacing w:val="12"/>
          <w:sz w:val="36"/>
        </w:rPr>
        <w:t>公示</w:t>
      </w:r>
    </w:p>
    <w:p>
      <w:pPr>
        <w:rPr>
          <w:rFonts w:hint="eastAsia" w:asciiTheme="minorEastAsia" w:hAnsiTheme="minorEastAsia" w:eastAsiaTheme="minorEastAsia" w:cstheme="minorEastAsia"/>
          <w:color w:val="0D0D0D"/>
          <w:spacing w:val="2"/>
          <w:sz w:val="28"/>
          <w:szCs w:val="28"/>
        </w:rPr>
      </w:pPr>
      <w:r>
        <w:rPr>
          <w:rFonts w:hint="eastAsia" w:asciiTheme="minorEastAsia" w:hAnsiTheme="minorEastAsia" w:eastAsiaTheme="minorEastAsia" w:cstheme="minorEastAsia"/>
          <w:color w:val="0D0D0D"/>
          <w:spacing w:val="2"/>
          <w:sz w:val="28"/>
          <w:szCs w:val="28"/>
        </w:rPr>
        <w:t>公示内容</w:t>
      </w:r>
    </w:p>
    <w:tbl>
      <w:tblPr>
        <w:tblStyle w:val="10"/>
        <w:tblW w:w="96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noWrap w:val="0"/>
            <w:vAlign w:val="center"/>
          </w:tcPr>
          <w:p>
            <w:pPr>
              <w:adjustRightInd w:val="0"/>
              <w:snapToGrid w:val="0"/>
              <w:jc w:val="center"/>
              <w:rPr>
                <w:rFonts w:hint="eastAsia" w:ascii="仿宋" w:hAnsi="仿宋" w:eastAsia="仿宋"/>
                <w:b/>
                <w:bCs/>
              </w:rPr>
            </w:pPr>
            <w:r>
              <w:rPr>
                <w:rFonts w:hint="eastAsia" w:ascii="仿宋" w:hAnsi="仿宋" w:eastAsia="仿宋"/>
                <w:b/>
                <w:bCs/>
              </w:rPr>
              <w:t>推荐奖种</w:t>
            </w:r>
          </w:p>
        </w:tc>
        <w:tc>
          <w:tcPr>
            <w:tcW w:w="8072" w:type="dxa"/>
            <w:noWrap w:val="0"/>
            <w:vAlign w:val="center"/>
          </w:tcPr>
          <w:p>
            <w:pPr>
              <w:spacing w:line="360" w:lineRule="auto"/>
              <w:jc w:val="center"/>
              <w:rPr>
                <w:rFonts w:hint="eastAsia" w:ascii="仿宋" w:hAnsi="仿宋" w:eastAsia="仿宋"/>
                <w:b w:val="0"/>
                <w:bCs w:val="0"/>
              </w:rPr>
            </w:pPr>
            <w:r>
              <w:rPr>
                <w:rFonts w:hint="eastAsia" w:ascii="仿宋" w:hAnsi="仿宋" w:eastAsia="仿宋"/>
                <w:b/>
                <w:bCs/>
                <w:sz w:val="21"/>
                <w:szCs w:val="21"/>
              </w:rPr>
              <w:t>广东医学科技奖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noWrap w:val="0"/>
            <w:vAlign w:val="center"/>
          </w:tcPr>
          <w:p>
            <w:pPr>
              <w:adjustRightInd w:val="0"/>
              <w:snapToGrid w:val="0"/>
              <w:jc w:val="center"/>
              <w:rPr>
                <w:rFonts w:hint="eastAsia" w:ascii="仿宋" w:hAnsi="仿宋" w:eastAsia="仿宋"/>
                <w:b/>
                <w:bCs/>
              </w:rPr>
            </w:pPr>
            <w:r>
              <w:rPr>
                <w:rFonts w:hint="eastAsia" w:ascii="仿宋" w:hAnsi="仿宋" w:eastAsia="仿宋"/>
                <w:b/>
                <w:bCs/>
              </w:rPr>
              <w:t>项目名称</w:t>
            </w:r>
          </w:p>
        </w:tc>
        <w:tc>
          <w:tcPr>
            <w:tcW w:w="8072" w:type="dxa"/>
            <w:noWrap w:val="0"/>
            <w:vAlign w:val="center"/>
          </w:tcPr>
          <w:p>
            <w:pPr>
              <w:adjustRightInd w:val="0"/>
              <w:snapToGrid w:val="0"/>
              <w:jc w:val="center"/>
              <w:rPr>
                <w:rFonts w:hint="default" w:ascii="Times New Roman" w:hAnsi="Times New Roman" w:cs="Times New Roman"/>
                <w:b/>
                <w:bCs/>
                <w:i w:val="0"/>
                <w:iCs w:val="0"/>
                <w:szCs w:val="21"/>
              </w:rPr>
            </w:pPr>
            <w:r>
              <w:rPr>
                <w:rFonts w:hint="default" w:ascii="Times New Roman" w:hAnsi="Times New Roman" w:cs="Times New Roman"/>
                <w:b/>
                <w:bCs/>
                <w:i w:val="0"/>
                <w:iCs w:val="0"/>
                <w:szCs w:val="21"/>
              </w:rPr>
              <w:t>构建基于综合药学服务与TDM及基因检测的精准用药体系及应用研究</w:t>
            </w:r>
          </w:p>
          <w:p>
            <w:pPr>
              <w:adjustRightInd w:val="0"/>
              <w:snapToGrid w:val="0"/>
              <w:jc w:val="center"/>
              <w:rPr>
                <w:rFonts w:hint="eastAsia" w:ascii="仿宋" w:hAnsi="仿宋" w:eastAsia="仿宋"/>
                <w:b w:val="0"/>
                <w:bCs w:val="0"/>
              </w:rPr>
            </w:pPr>
            <w:r>
              <w:rPr>
                <w:rFonts w:hint="default" w:ascii="Times New Roman" w:hAnsi="Times New Roman" w:cs="Times New Roman"/>
                <w:b/>
                <w:bCs/>
                <w:i w:val="0"/>
                <w:iCs w:val="0"/>
              </w:rPr>
              <w:t>Construction and application of precision medication system based on comprehensive pharmaceutical care,TDM and gene testing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15" w:type="dxa"/>
            <w:noWrap w:val="0"/>
            <w:vAlign w:val="center"/>
          </w:tcPr>
          <w:p>
            <w:pPr>
              <w:snapToGrid w:val="0"/>
              <w:jc w:val="center"/>
              <w:rPr>
                <w:rFonts w:hint="eastAsia" w:ascii="仿宋" w:hAnsi="仿宋" w:eastAsia="仿宋"/>
              </w:rPr>
            </w:pPr>
            <w:r>
              <w:rPr>
                <w:rFonts w:hint="eastAsia" w:ascii="仿宋" w:hAnsi="仿宋" w:eastAsia="仿宋"/>
                <w:b/>
                <w:bCs/>
              </w:rPr>
              <w:t>推荐单位</w:t>
            </w:r>
          </w:p>
        </w:tc>
        <w:tc>
          <w:tcPr>
            <w:tcW w:w="8072" w:type="dxa"/>
            <w:noWrap w:val="0"/>
            <w:vAlign w:val="center"/>
          </w:tcPr>
          <w:p>
            <w:pPr>
              <w:spacing w:line="360" w:lineRule="auto"/>
              <w:rPr>
                <w:rFonts w:hint="default" w:ascii="仿宋" w:hAnsi="仿宋" w:eastAsia="仿宋"/>
                <w:lang w:val="en-US" w:eastAsia="zh-CN"/>
              </w:rPr>
            </w:pPr>
            <w:r>
              <w:rPr>
                <w:rFonts w:hint="eastAsia" w:ascii="仿宋" w:hAnsi="仿宋" w:eastAsia="仿宋"/>
                <w:lang w:eastAsia="zh-CN"/>
              </w:rPr>
              <w:t>暨南大学</w:t>
            </w:r>
            <w:r>
              <w:rPr>
                <w:rFonts w:hint="eastAsia" w:ascii="仿宋" w:hAnsi="仿宋" w:eastAsia="仿宋"/>
                <w:lang w:val="en-US" w:eastAsia="zh-CN"/>
              </w:rPr>
              <w:t>附属广州红十字会医院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15" w:type="dxa"/>
            <w:noWrap w:val="0"/>
            <w:vAlign w:val="center"/>
          </w:tcPr>
          <w:p>
            <w:pPr>
              <w:snapToGrid w:val="0"/>
              <w:jc w:val="center"/>
              <w:rPr>
                <w:rFonts w:hint="eastAsia" w:ascii="仿宋" w:hAnsi="仿宋" w:eastAsia="仿宋"/>
                <w:b/>
                <w:bCs/>
              </w:rPr>
            </w:pPr>
            <w:r>
              <w:rPr>
                <w:rFonts w:hint="eastAsia" w:ascii="仿宋" w:hAnsi="仿宋" w:eastAsia="仿宋"/>
                <w:b/>
                <w:bCs/>
              </w:rPr>
              <w:t>推荐意见</w:t>
            </w:r>
          </w:p>
        </w:tc>
        <w:tc>
          <w:tcPr>
            <w:tcW w:w="8072" w:type="dxa"/>
            <w:noWrap w:val="0"/>
            <w:vAlign w:val="center"/>
          </w:tcPr>
          <w:p>
            <w:pPr>
              <w:bidi w:val="0"/>
              <w:rPr>
                <w:rFonts w:hint="eastAsia" w:ascii="仿宋" w:hAnsi="仿宋" w:eastAsia="仿宋" w:cs="仿宋"/>
                <w:sz w:val="20"/>
                <w:szCs w:val="20"/>
              </w:rPr>
            </w:pPr>
            <w:r>
              <w:rPr>
                <w:rFonts w:hint="eastAsia" w:ascii="仿宋" w:hAnsi="仿宋" w:eastAsia="仿宋" w:cs="仿宋"/>
                <w:sz w:val="20"/>
                <w:szCs w:val="20"/>
              </w:rPr>
              <w:t>我单位认真审阅了该项目推荐书及附件材料，确认全部材料真实有效。</w:t>
            </w:r>
          </w:p>
          <w:p>
            <w:pPr>
              <w:bidi w:val="0"/>
              <w:ind w:firstLine="400" w:firstLineChars="200"/>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本项目是基于中国药理学会治疗药物监测研究专业委员会基层委员会与广东省药理学会治疗药物监测研究专业委员会的委员们共同合作的结晶，针对我国临床治疗缺乏精准治疗的现状，不同领域的委员们进行多学科交流及发挥自身优势科目在临床不断开展研究，通过研究成果不断在临床验证，在综合药学服务上提供自己的意见建议，最终完成构建了由临床药师提供综合药学服务为主导，辅以TDM、基因检测等技术为辅助构建的精准用药体系模型。项目的创新点主要体现在：1）针对抗肿瘤治疗，已成功构建应用综合药学服务为核心的结合TDM与基因检测的精准用药模型。将综合药学服务作为药物治疗核心，TDM 与基因检测作为治疗方案制定的导向，临床药师再将检测结果与患者基本情况结合进行解读，能够为患者提供最佳治疗方案和贯穿治疗全过程的综合药学服务，实现精准的个体化治疗。2）针对抗感染治疗，已成功构建应用综合药学服务为核心的结合TDM与基因检测的精准用药模型。本团队建立了一整套融合患者治疗药物 PK/PD 参数、人群 PPK 模型、 TDM 、基因检测等方面监测方法，再由临床药师对于上述数据结果进行解读，为患者提供精准用药的个体化治疗方案。3）针对抗血栓治疗，已成功构建应用综合药学服务为核心的结合TDM与基因检测的精准用药模型。基因多态性所造成的代谢酶的差异对治疗心血管疾病药物的影响较大，常会给患者带来严重的伤害，为临床提供优质综合药学服务，辅以TDM与基因检测，对影响药物疗效与副作用的因素进行分析，并对药物做出相应调整。</w:t>
            </w:r>
          </w:p>
          <w:p>
            <w:pPr>
              <w:bidi w:val="0"/>
              <w:ind w:firstLine="400" w:firstLineChars="200"/>
              <w:rPr>
                <w:rFonts w:hint="eastAsia" w:ascii="仿宋" w:hAnsi="仿宋" w:eastAsia="仿宋" w:cs="仿宋"/>
                <w:sz w:val="20"/>
                <w:szCs w:val="20"/>
              </w:rPr>
            </w:pPr>
            <w:r>
              <w:rPr>
                <w:rFonts w:hint="eastAsia" w:ascii="仿宋" w:hAnsi="仿宋" w:eastAsia="仿宋" w:cs="仿宋"/>
                <w:sz w:val="20"/>
                <w:szCs w:val="20"/>
              </w:rPr>
              <w:t>从总体上看，</w:t>
            </w:r>
            <w:r>
              <w:rPr>
                <w:rFonts w:hint="eastAsia" w:ascii="仿宋" w:hAnsi="仿宋" w:eastAsia="仿宋" w:cs="仿宋"/>
                <w:sz w:val="20"/>
                <w:szCs w:val="20"/>
                <w:lang w:eastAsia="zh-CN"/>
              </w:rPr>
              <w:t>本项目共发表</w:t>
            </w:r>
            <w:r>
              <w:rPr>
                <w:rFonts w:hint="eastAsia" w:ascii="仿宋" w:hAnsi="仿宋" w:eastAsia="仿宋" w:cs="仿宋"/>
                <w:sz w:val="20"/>
                <w:szCs w:val="20"/>
                <w:lang w:val="en-US" w:eastAsia="zh-CN"/>
              </w:rPr>
              <w:t>代表作20篇</w:t>
            </w:r>
            <w:r>
              <w:rPr>
                <w:rFonts w:hint="eastAsia" w:ascii="仿宋" w:hAnsi="仿宋" w:eastAsia="仿宋" w:cs="仿宋"/>
                <w:sz w:val="20"/>
                <w:szCs w:val="20"/>
                <w:lang w:eastAsia="zh-CN"/>
              </w:rPr>
              <w:t>论文</w:t>
            </w:r>
            <w:r>
              <w:rPr>
                <w:rFonts w:hint="eastAsia" w:ascii="仿宋" w:hAnsi="仿宋" w:eastAsia="仿宋" w:cs="仿宋"/>
                <w:sz w:val="20"/>
                <w:szCs w:val="20"/>
                <w:lang w:val="en-US" w:eastAsia="zh-CN"/>
              </w:rPr>
              <w:t>，其中SCI论文6篇，总影响因子22.636，他引合计54次；构建了三种以综合药学服务为核心的精准用药体系模型，从小范围应用到扩大片区推广，使患者个体化治疗有据可依，发挥综合药学服务在治疗中的价值，对</w:t>
            </w:r>
            <w:r>
              <w:rPr>
                <w:rFonts w:hint="eastAsia" w:ascii="仿宋" w:hAnsi="仿宋" w:eastAsia="仿宋" w:cs="仿宋"/>
                <w:sz w:val="20"/>
                <w:szCs w:val="20"/>
              </w:rPr>
              <w:t>个体化治疗的发展起着积极的作用</w:t>
            </w:r>
            <w:r>
              <w:rPr>
                <w:rFonts w:hint="eastAsia" w:ascii="仿宋" w:hAnsi="仿宋" w:eastAsia="仿宋" w:cs="仿宋"/>
                <w:sz w:val="20"/>
                <w:szCs w:val="20"/>
                <w:lang w:eastAsia="zh-CN"/>
              </w:rPr>
              <w:t>。</w:t>
            </w:r>
            <w:r>
              <w:rPr>
                <w:rFonts w:hint="eastAsia" w:ascii="仿宋" w:hAnsi="仿宋" w:eastAsia="仿宋" w:cs="仿宋"/>
                <w:sz w:val="20"/>
                <w:szCs w:val="20"/>
              </w:rPr>
              <w:t>其技术已达到国</w:t>
            </w:r>
            <w:r>
              <w:rPr>
                <w:rFonts w:hint="eastAsia" w:ascii="仿宋" w:hAnsi="仿宋" w:eastAsia="仿宋" w:cs="仿宋"/>
                <w:sz w:val="20"/>
                <w:szCs w:val="20"/>
                <w:lang w:eastAsia="zh-CN"/>
              </w:rPr>
              <w:t>内</w:t>
            </w:r>
            <w:r>
              <w:rPr>
                <w:rFonts w:hint="eastAsia" w:ascii="仿宋" w:hAnsi="仿宋" w:eastAsia="仿宋" w:cs="仿宋"/>
                <w:sz w:val="20"/>
                <w:szCs w:val="20"/>
              </w:rPr>
              <w:t>领先水平，有力地推进该领域科技成果临床转化和应用，也从社会层面上推动本领域的发展和进步。</w:t>
            </w:r>
          </w:p>
          <w:p>
            <w:pPr>
              <w:bidi w:val="0"/>
              <w:ind w:firstLine="200" w:firstLineChars="100"/>
              <w:rPr>
                <w:rFonts w:hint="eastAsia" w:ascii="仿宋" w:hAnsi="仿宋" w:eastAsia="仿宋" w:cs="仿宋"/>
              </w:rPr>
            </w:pPr>
            <w:r>
              <w:rPr>
                <w:rFonts w:hint="eastAsia" w:ascii="仿宋" w:hAnsi="仿宋" w:eastAsia="仿宋" w:cs="仿宋"/>
                <w:sz w:val="20"/>
                <w:szCs w:val="20"/>
              </w:rPr>
              <w:t>为此，同意推荐本项目申报</w:t>
            </w:r>
            <w:r>
              <w:rPr>
                <w:rFonts w:hint="eastAsia" w:ascii="仿宋" w:hAnsi="仿宋" w:eastAsia="仿宋" w:cs="仿宋"/>
                <w:sz w:val="20"/>
                <w:szCs w:val="20"/>
                <w:lang w:eastAsia="zh-CN"/>
              </w:rPr>
              <w:t>广东省</w:t>
            </w:r>
            <w:r>
              <w:rPr>
                <w:rFonts w:hint="eastAsia" w:ascii="仿宋" w:hAnsi="仿宋" w:eastAsia="仿宋" w:cs="仿宋"/>
                <w:sz w:val="20"/>
                <w:szCs w:val="20"/>
              </w:rPr>
              <w:t>医学科技奖。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615" w:type="dxa"/>
            <w:noWrap w:val="0"/>
            <w:vAlign w:val="center"/>
          </w:tcPr>
          <w:p>
            <w:pPr>
              <w:adjustRightInd w:val="0"/>
              <w:snapToGrid w:val="0"/>
              <w:jc w:val="center"/>
              <w:rPr>
                <w:rFonts w:hint="eastAsia" w:ascii="仿宋" w:hAnsi="仿宋" w:eastAsia="仿宋"/>
                <w:b/>
                <w:bCs/>
              </w:rPr>
            </w:pPr>
          </w:p>
          <w:p>
            <w:pPr>
              <w:adjustRightInd w:val="0"/>
              <w:snapToGrid w:val="0"/>
              <w:jc w:val="center"/>
              <w:rPr>
                <w:rFonts w:hint="eastAsia" w:ascii="仿宋" w:hAnsi="仿宋" w:eastAsia="仿宋"/>
                <w:b/>
                <w:bCs/>
              </w:rPr>
            </w:pPr>
          </w:p>
          <w:p>
            <w:pPr>
              <w:adjustRightInd w:val="0"/>
              <w:snapToGrid w:val="0"/>
              <w:jc w:val="center"/>
              <w:rPr>
                <w:rFonts w:hint="eastAsia" w:ascii="仿宋" w:hAnsi="仿宋" w:eastAsia="仿宋"/>
                <w:b/>
                <w:bCs/>
              </w:rPr>
            </w:pPr>
          </w:p>
          <w:p>
            <w:pPr>
              <w:adjustRightInd w:val="0"/>
              <w:snapToGrid w:val="0"/>
              <w:jc w:val="center"/>
              <w:rPr>
                <w:rFonts w:hint="eastAsia" w:ascii="仿宋" w:hAnsi="仿宋" w:eastAsia="仿宋"/>
                <w:b/>
                <w:bCs/>
              </w:rPr>
            </w:pPr>
          </w:p>
          <w:p>
            <w:pPr>
              <w:adjustRightInd w:val="0"/>
              <w:snapToGrid w:val="0"/>
              <w:jc w:val="center"/>
              <w:rPr>
                <w:rFonts w:hint="eastAsia" w:ascii="仿宋" w:hAnsi="仿宋" w:eastAsia="仿宋"/>
                <w:b/>
                <w:bCs/>
              </w:rPr>
            </w:pPr>
          </w:p>
          <w:p>
            <w:pPr>
              <w:adjustRightInd w:val="0"/>
              <w:snapToGrid w:val="0"/>
              <w:jc w:val="center"/>
              <w:rPr>
                <w:rFonts w:hint="eastAsia" w:ascii="仿宋" w:hAnsi="仿宋" w:eastAsia="仿宋"/>
                <w:b/>
                <w:bCs/>
              </w:rPr>
            </w:pPr>
          </w:p>
          <w:p>
            <w:pPr>
              <w:adjustRightInd w:val="0"/>
              <w:snapToGrid w:val="0"/>
              <w:jc w:val="center"/>
              <w:rPr>
                <w:rFonts w:hint="eastAsia" w:ascii="仿宋" w:hAnsi="仿宋" w:eastAsia="仿宋"/>
                <w:b/>
                <w:bCs/>
              </w:rPr>
            </w:pPr>
          </w:p>
          <w:p>
            <w:pPr>
              <w:adjustRightInd w:val="0"/>
              <w:snapToGrid w:val="0"/>
              <w:jc w:val="center"/>
              <w:rPr>
                <w:rFonts w:hint="eastAsia" w:ascii="仿宋" w:hAnsi="仿宋" w:eastAsia="仿宋"/>
                <w:b/>
                <w:bCs/>
              </w:rPr>
            </w:pPr>
          </w:p>
          <w:p>
            <w:pPr>
              <w:adjustRightInd w:val="0"/>
              <w:snapToGrid w:val="0"/>
              <w:jc w:val="center"/>
              <w:rPr>
                <w:rFonts w:hint="eastAsia" w:ascii="仿宋" w:hAnsi="仿宋" w:eastAsia="仿宋"/>
                <w:b/>
                <w:bCs/>
              </w:rPr>
            </w:pPr>
          </w:p>
          <w:p>
            <w:pPr>
              <w:adjustRightInd w:val="0"/>
              <w:snapToGrid w:val="0"/>
              <w:jc w:val="center"/>
              <w:rPr>
                <w:rFonts w:hint="eastAsia" w:ascii="仿宋" w:hAnsi="仿宋" w:eastAsia="仿宋"/>
                <w:b/>
                <w:bCs/>
              </w:rPr>
            </w:pPr>
          </w:p>
          <w:p>
            <w:pPr>
              <w:adjustRightInd w:val="0"/>
              <w:snapToGrid w:val="0"/>
              <w:jc w:val="center"/>
              <w:rPr>
                <w:rFonts w:hint="eastAsia" w:ascii="仿宋" w:hAnsi="仿宋" w:eastAsia="仿宋"/>
                <w:b/>
                <w:bCs/>
              </w:rPr>
            </w:pPr>
          </w:p>
          <w:p>
            <w:pPr>
              <w:adjustRightInd w:val="0"/>
              <w:snapToGrid w:val="0"/>
              <w:jc w:val="center"/>
              <w:rPr>
                <w:rFonts w:hint="eastAsia" w:ascii="仿宋" w:hAnsi="仿宋" w:eastAsia="仿宋"/>
                <w:b/>
                <w:bCs/>
              </w:rPr>
            </w:pPr>
          </w:p>
          <w:p>
            <w:pPr>
              <w:adjustRightInd w:val="0"/>
              <w:snapToGrid w:val="0"/>
              <w:jc w:val="center"/>
              <w:rPr>
                <w:rFonts w:hint="eastAsia" w:ascii="仿宋" w:hAnsi="仿宋" w:eastAsia="仿宋"/>
                <w:b/>
                <w:bCs/>
              </w:rPr>
            </w:pPr>
          </w:p>
          <w:p>
            <w:pPr>
              <w:adjustRightInd w:val="0"/>
              <w:snapToGrid w:val="0"/>
              <w:jc w:val="center"/>
              <w:rPr>
                <w:rFonts w:hint="eastAsia" w:ascii="仿宋" w:hAnsi="仿宋" w:eastAsia="仿宋"/>
                <w:b/>
                <w:bCs/>
              </w:rPr>
            </w:pPr>
          </w:p>
          <w:p>
            <w:pPr>
              <w:adjustRightInd w:val="0"/>
              <w:snapToGrid w:val="0"/>
              <w:jc w:val="center"/>
              <w:rPr>
                <w:rFonts w:hint="eastAsia" w:ascii="仿宋" w:hAnsi="仿宋" w:eastAsia="仿宋"/>
                <w:b/>
                <w:bCs/>
              </w:rPr>
            </w:pPr>
            <w:r>
              <w:rPr>
                <w:rFonts w:hint="eastAsia" w:ascii="仿宋" w:hAnsi="仿宋" w:eastAsia="仿宋"/>
                <w:b/>
                <w:bCs/>
              </w:rPr>
              <w:t>项目简介</w:t>
            </w:r>
          </w:p>
        </w:tc>
        <w:tc>
          <w:tcPr>
            <w:tcW w:w="8072" w:type="dxa"/>
            <w:noWrap w:val="0"/>
            <w:vAlign w:val="center"/>
          </w:tcPr>
          <w:p>
            <w:pPr>
              <w:adjustRightInd w:val="0"/>
              <w:snapToGrid w:val="0"/>
              <w:rPr>
                <w:rFonts w:hint="eastAsia" w:ascii="仿宋" w:hAnsi="仿宋" w:eastAsia="仿宋"/>
                <w:sz w:val="20"/>
                <w:szCs w:val="22"/>
              </w:rPr>
            </w:pPr>
            <w:r>
              <w:rPr>
                <w:rFonts w:hint="eastAsia" w:ascii="仿宋" w:hAnsi="仿宋" w:eastAsia="仿宋"/>
                <w:sz w:val="20"/>
                <w:szCs w:val="22"/>
              </w:rPr>
              <w:t>随着国家、省等有关部门不断出台推进医院药学服务的相关政策，将药学服务的工作模式从传统单一以药品为中心转化为以患者为中心，全方位提升药学在临床、教学、科研和管理等方面的能力和水平，形成与临床专科融合发展的综合药学服务模式。另外，随着精准治疗概念的推广，临床上逐渐意识到利用传统治疗体系只对疾病进行简单分类分型，即选择相同的标准药物用法用量对不同患者进行治疗，这样的治疗方式不仅不能达到理想的临床治疗效果，甚至可能给患者带来严重伤害。本团队针对我国临床治疗缺乏精准治疗的现状，在临床不断开展研究，通过研究成果不断在临床验证，逐步建立各种方向的精准用药体系，在该体系中通过将临床药师带入精准用药分析解读的核心位置，改变传统药师工作模式，发挥药学专业优势，对各项检测结果结合患者基本情况进行解读并为患者提供综合药学评估，最终为患者制定出个体化方案，极大发挥临床药师在临床治疗中的作用，避免传统治疗方案给治疗过程带来的负面影响，推进精准治疗和个体化治疗发展，推动医疗机构MDT团队发展。</w:t>
            </w:r>
          </w:p>
          <w:p>
            <w:pPr>
              <w:adjustRightInd w:val="0"/>
              <w:snapToGrid w:val="0"/>
              <w:ind w:firstLine="400" w:firstLineChars="200"/>
              <w:rPr>
                <w:rFonts w:hint="eastAsia" w:ascii="仿宋" w:hAnsi="仿宋" w:eastAsia="仿宋"/>
                <w:sz w:val="20"/>
                <w:szCs w:val="22"/>
              </w:rPr>
            </w:pPr>
            <w:r>
              <w:rPr>
                <w:rFonts w:hint="eastAsia" w:ascii="仿宋" w:hAnsi="仿宋" w:eastAsia="仿宋"/>
                <w:sz w:val="20"/>
                <w:szCs w:val="22"/>
              </w:rPr>
              <w:t>本项目针对临床上诊治所存在的问题，临床药师根据临床所系提供综合药学服务，结合临 TDM 、基因检测检测等方式，从药师角度解读，推进精准医疗系统完善，所获得的成果表现为以下3方面：</w:t>
            </w:r>
          </w:p>
          <w:p>
            <w:pPr>
              <w:adjustRightInd w:val="0"/>
              <w:snapToGrid w:val="0"/>
              <w:rPr>
                <w:rFonts w:hint="eastAsia" w:ascii="仿宋" w:hAnsi="仿宋" w:eastAsia="仿宋"/>
                <w:sz w:val="20"/>
                <w:szCs w:val="22"/>
              </w:rPr>
            </w:pPr>
            <w:r>
              <w:rPr>
                <w:rFonts w:hint="eastAsia" w:ascii="仿宋" w:hAnsi="仿宋" w:eastAsia="仿宋"/>
                <w:sz w:val="20"/>
                <w:szCs w:val="22"/>
              </w:rPr>
              <w:t xml:space="preserve">1）针对抗肿瘤治疗，已成功构建应用综合药学服务为核心的结合TDM与基因检测的精准用药模型。将综合药学服务作为药物治疗核心，TDM 与基因检测作为治疗方案制定的导向，临床药师再将检测结果与患者基本情况结合进行解读，能够为患者提供最佳治疗方案和贯穿治疗全过程的综合药学服务，实现精准的个体化治疗。 </w:t>
            </w:r>
          </w:p>
          <w:p>
            <w:pPr>
              <w:adjustRightInd w:val="0"/>
              <w:snapToGrid w:val="0"/>
              <w:rPr>
                <w:rFonts w:hint="eastAsia" w:ascii="仿宋" w:hAnsi="仿宋" w:eastAsia="仿宋"/>
                <w:sz w:val="20"/>
                <w:szCs w:val="22"/>
              </w:rPr>
            </w:pPr>
            <w:r>
              <w:rPr>
                <w:rFonts w:hint="eastAsia" w:ascii="仿宋" w:hAnsi="仿宋" w:eastAsia="仿宋"/>
                <w:sz w:val="20"/>
                <w:szCs w:val="22"/>
              </w:rPr>
              <w:t>2）针对抗感染治疗，已成功构建应用综合药学服务为核心的结合TDM与基因检测的精准用药模型。本团队建立了一整套融合患者治疗药物 PK/PD 参数、人群 PPK 模型、 TDM 、基因检测等方面监测方法，再由临床药师对于上述数据结果进行解读，为患者提供精准用药的个体化治疗方案。</w:t>
            </w:r>
          </w:p>
          <w:p>
            <w:pPr>
              <w:adjustRightInd w:val="0"/>
              <w:snapToGrid w:val="0"/>
              <w:rPr>
                <w:rFonts w:hint="eastAsia" w:ascii="仿宋" w:hAnsi="仿宋" w:eastAsia="仿宋"/>
                <w:sz w:val="20"/>
                <w:szCs w:val="22"/>
              </w:rPr>
            </w:pPr>
            <w:r>
              <w:rPr>
                <w:rFonts w:hint="eastAsia" w:ascii="仿宋" w:hAnsi="仿宋" w:eastAsia="仿宋"/>
                <w:sz w:val="20"/>
                <w:szCs w:val="22"/>
              </w:rPr>
              <w:t xml:space="preserve">3）针对抗血栓治疗，已成功构建应用综合药学服务为核心的结合TDM与基因检测的精准用药模型。基因多态性所造成的代谢酶的差异对治疗心血管疾病药物的影响较大，常会给患者带来严重的伤害，为临床提供优质综合药学服务，辅以TDM与基因检测，对影响药物疗效与副作用的因素进行分析，并对药物做出相应调整。 </w:t>
            </w:r>
          </w:p>
          <w:p>
            <w:pPr>
              <w:adjustRightInd w:val="0"/>
              <w:snapToGrid w:val="0"/>
              <w:rPr>
                <w:rFonts w:hint="eastAsia" w:ascii="仿宋" w:hAnsi="仿宋" w:eastAsia="仿宋"/>
                <w:sz w:val="20"/>
                <w:szCs w:val="22"/>
              </w:rPr>
            </w:pPr>
            <w:r>
              <w:rPr>
                <w:rFonts w:hint="eastAsia" w:ascii="仿宋" w:hAnsi="仿宋" w:eastAsia="仿宋"/>
                <w:sz w:val="20"/>
                <w:szCs w:val="22"/>
              </w:rPr>
              <w:t xml:space="preserve">   本团队构建了</w:t>
            </w:r>
            <w:r>
              <w:rPr>
                <w:rFonts w:hint="eastAsia" w:ascii="仿宋" w:hAnsi="仿宋" w:eastAsia="仿宋"/>
                <w:sz w:val="20"/>
                <w:szCs w:val="22"/>
                <w:lang w:eastAsia="zh-CN"/>
              </w:rPr>
              <w:t>三</w:t>
            </w:r>
            <w:r>
              <w:rPr>
                <w:rFonts w:hint="eastAsia" w:ascii="仿宋" w:hAnsi="仿宋" w:eastAsia="仿宋"/>
                <w:sz w:val="20"/>
                <w:szCs w:val="22"/>
              </w:rPr>
              <w:t>种临床常见疾病的精准用药体系模型，从小范围应用到扩大片区推广，使患者个体化治疗有据可依。本团队还将不断完善各疾病类型的精准用药系统，继续对临床治疗方式进行优化，发挥综合药学服务在治疗中的价值，达到各类疾病全覆盖的个体化治疗，保证最佳疗效，减少不良事件，提高医院诊疗水平，减轻患者痛苦与经济负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15" w:type="dxa"/>
            <w:noWrap w:val="0"/>
            <w:vAlign w:val="center"/>
          </w:tcPr>
          <w:p>
            <w:pPr>
              <w:adjustRightInd w:val="0"/>
              <w:snapToGrid w:val="0"/>
              <w:jc w:val="center"/>
              <w:rPr>
                <w:rFonts w:hint="eastAsia" w:ascii="仿宋" w:hAnsi="仿宋" w:eastAsia="仿宋"/>
                <w:b/>
                <w:bCs/>
              </w:rPr>
            </w:pPr>
            <w:r>
              <w:rPr>
                <w:rFonts w:hint="eastAsia" w:ascii="仿宋" w:hAnsi="仿宋" w:eastAsia="仿宋"/>
                <w:b/>
                <w:bCs/>
              </w:rPr>
              <w:t>知识产权</w:t>
            </w:r>
          </w:p>
          <w:p>
            <w:pPr>
              <w:adjustRightInd w:val="0"/>
              <w:snapToGrid w:val="0"/>
              <w:jc w:val="center"/>
              <w:rPr>
                <w:rFonts w:hint="eastAsia" w:ascii="仿宋" w:hAnsi="仿宋" w:eastAsia="仿宋"/>
                <w:b/>
                <w:bCs/>
              </w:rPr>
            </w:pPr>
            <w:r>
              <w:rPr>
                <w:rFonts w:hint="eastAsia" w:ascii="仿宋" w:hAnsi="仿宋" w:eastAsia="仿宋"/>
                <w:b/>
                <w:bCs/>
              </w:rPr>
              <w:t>证明目录</w:t>
            </w:r>
          </w:p>
        </w:tc>
        <w:tc>
          <w:tcPr>
            <w:tcW w:w="8072" w:type="dxa"/>
            <w:noWrap w:val="0"/>
            <w:vAlign w:val="center"/>
          </w:tcPr>
          <w:p>
            <w:pPr>
              <w:rPr>
                <w:rFonts w:hint="eastAsia" w:ascii="仿宋" w:hAnsi="仿宋" w:eastAsia="宋体"/>
                <w:sz w:val="20"/>
                <w:szCs w:val="22"/>
                <w:lang w:val="en-US" w:eastAsia="zh-CN"/>
              </w:rPr>
            </w:pPr>
            <w:r>
              <w:rPr>
                <w:rFonts w:hint="eastAsia" w:ascii="仿宋" w:hAnsi="仿宋" w:eastAsia="仿宋"/>
                <w:sz w:val="20"/>
                <w:szCs w:val="22"/>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vMerge w:val="restart"/>
            <w:noWrap w:val="0"/>
            <w:vAlign w:val="center"/>
          </w:tcPr>
          <w:p>
            <w:pPr>
              <w:adjustRightInd w:val="0"/>
              <w:snapToGrid w:val="0"/>
              <w:jc w:val="center"/>
              <w:rPr>
                <w:rFonts w:hint="eastAsia" w:ascii="仿宋" w:hAnsi="仿宋" w:eastAsia="仿宋"/>
                <w:b/>
                <w:bCs/>
              </w:rPr>
            </w:pPr>
          </w:p>
          <w:p>
            <w:pPr>
              <w:adjustRightInd w:val="0"/>
              <w:snapToGrid w:val="0"/>
              <w:jc w:val="center"/>
              <w:rPr>
                <w:rFonts w:hint="eastAsia" w:ascii="仿宋" w:hAnsi="仿宋" w:eastAsia="仿宋"/>
                <w:b/>
                <w:bCs/>
              </w:rPr>
            </w:pPr>
            <w:r>
              <w:rPr>
                <w:rFonts w:hint="eastAsia" w:ascii="仿宋" w:hAnsi="仿宋" w:eastAsia="仿宋"/>
                <w:b/>
                <w:bCs/>
              </w:rPr>
              <w:t>代表性论文</w:t>
            </w:r>
          </w:p>
          <w:p>
            <w:pPr>
              <w:adjustRightInd w:val="0"/>
              <w:snapToGrid w:val="0"/>
              <w:jc w:val="center"/>
              <w:rPr>
                <w:rFonts w:hint="eastAsia" w:ascii="仿宋" w:hAnsi="仿宋" w:eastAsia="仿宋"/>
                <w:b/>
                <w:bCs/>
              </w:rPr>
            </w:pPr>
            <w:r>
              <w:rPr>
                <w:rFonts w:hint="eastAsia" w:ascii="仿宋" w:hAnsi="仿宋" w:eastAsia="仿宋"/>
                <w:b/>
                <w:bCs/>
              </w:rPr>
              <w:t>目录</w:t>
            </w:r>
          </w:p>
        </w:tc>
        <w:tc>
          <w:tcPr>
            <w:tcW w:w="8072" w:type="dxa"/>
            <w:noWrap w:val="0"/>
            <w:vAlign w:val="center"/>
          </w:tcPr>
          <w:p>
            <w:pPr>
              <w:adjustRightInd w:val="0"/>
              <w:snapToGrid w:val="0"/>
              <w:rPr>
                <w:rFonts w:hint="default" w:ascii="Times New Roman" w:hAnsi="Times New Roman" w:eastAsia="仿宋" w:cs="Times New Roman"/>
                <w:lang w:eastAsia="zh-CN"/>
              </w:rPr>
            </w:pPr>
            <w:r>
              <w:rPr>
                <w:rFonts w:hint="default" w:ascii="Times New Roman" w:hAnsi="Times New Roman" w:eastAsia="仿宋" w:cs="Times New Roman"/>
                <w:lang w:val="en-US" w:eastAsia="zh-CN"/>
              </w:rPr>
              <w:t>论文1：&lt;Determining the optimal 5-FU therapeutic dosage in the treatment of colorectal cancer patients&gt;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vMerge w:val="continue"/>
            <w:noWrap w:val="0"/>
            <w:vAlign w:val="center"/>
          </w:tcPr>
          <w:p>
            <w:pPr>
              <w:adjustRightInd w:val="0"/>
              <w:snapToGrid w:val="0"/>
              <w:jc w:val="center"/>
              <w:rPr>
                <w:rFonts w:hint="eastAsia" w:ascii="仿宋" w:hAnsi="仿宋" w:eastAsia="仿宋"/>
                <w:b/>
                <w:bCs/>
              </w:rPr>
            </w:pPr>
          </w:p>
        </w:tc>
        <w:tc>
          <w:tcPr>
            <w:tcW w:w="8072" w:type="dxa"/>
            <w:noWrap w:val="0"/>
            <w:vAlign w:val="center"/>
          </w:tcPr>
          <w:p>
            <w:pPr>
              <w:adjustRightInd w:val="0"/>
              <w:snapToGrid w:val="0"/>
              <w:rPr>
                <w:rFonts w:hint="default" w:ascii="Times New Roman" w:hAnsi="Times New Roman" w:eastAsia="仿宋" w:cs="Times New Roman"/>
                <w:lang w:eastAsia="zh-CN"/>
              </w:rPr>
            </w:pPr>
            <w:r>
              <w:rPr>
                <w:rFonts w:hint="default" w:ascii="Times New Roman" w:hAnsi="Times New Roman" w:eastAsia="仿宋" w:cs="Times New Roman"/>
                <w:lang w:val="en-US" w:eastAsia="zh-CN"/>
              </w:rPr>
              <w:t>论文2：&lt;TC &gt; 0.05 as a Pharmacokinetic Parameter of Paclitaxel for Therapeutic Efficacy and Toxicity in Cancer Patients&gt;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vMerge w:val="continue"/>
            <w:noWrap w:val="0"/>
            <w:vAlign w:val="center"/>
          </w:tcPr>
          <w:p>
            <w:pPr>
              <w:adjustRightInd w:val="0"/>
              <w:snapToGrid w:val="0"/>
              <w:jc w:val="center"/>
              <w:rPr>
                <w:rFonts w:hint="eastAsia" w:ascii="仿宋" w:hAnsi="仿宋" w:eastAsia="仿宋"/>
                <w:b/>
                <w:bCs/>
              </w:rPr>
            </w:pPr>
          </w:p>
        </w:tc>
        <w:tc>
          <w:tcPr>
            <w:tcW w:w="8072" w:type="dxa"/>
            <w:noWrap w:val="0"/>
            <w:vAlign w:val="center"/>
          </w:tcPr>
          <w:p>
            <w:pPr>
              <w:adjustRightInd w:val="0"/>
              <w:snapToGrid w:val="0"/>
              <w:rPr>
                <w:rFonts w:hint="default" w:ascii="Times New Roman" w:hAnsi="Times New Roman" w:eastAsia="仿宋" w:cs="Times New Roman"/>
                <w:lang w:eastAsia="zh-CN"/>
              </w:rPr>
            </w:pPr>
            <w:r>
              <w:rPr>
                <w:rFonts w:hint="default" w:ascii="Times New Roman" w:hAnsi="Times New Roman" w:eastAsia="仿宋" w:cs="Times New Roman"/>
                <w:lang w:val="en-US" w:eastAsia="zh-CN"/>
              </w:rPr>
              <w:t>论文3：&lt;Correlation between Paclitaxel Tc &gt; 0.05 and its Therapeutic fficacy and Severe Toxicities in Ovarian Cancer Patients&gt;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vMerge w:val="continue"/>
            <w:noWrap w:val="0"/>
            <w:vAlign w:val="center"/>
          </w:tcPr>
          <w:p>
            <w:pPr>
              <w:adjustRightInd w:val="0"/>
              <w:snapToGrid w:val="0"/>
              <w:jc w:val="center"/>
              <w:rPr>
                <w:rFonts w:hint="eastAsia" w:ascii="仿宋" w:hAnsi="仿宋" w:eastAsia="仿宋"/>
                <w:b/>
                <w:bCs/>
              </w:rPr>
            </w:pPr>
          </w:p>
        </w:tc>
        <w:tc>
          <w:tcPr>
            <w:tcW w:w="8072" w:type="dxa"/>
            <w:noWrap w:val="0"/>
            <w:vAlign w:val="center"/>
          </w:tcPr>
          <w:p>
            <w:pPr>
              <w:adjustRightInd w:val="0"/>
              <w:snapToGrid w:val="0"/>
              <w:rPr>
                <w:rFonts w:hint="default" w:ascii="Times New Roman" w:hAnsi="Times New Roman" w:eastAsia="仿宋" w:cs="Times New Roman"/>
                <w:lang w:eastAsia="zh-CN"/>
              </w:rPr>
            </w:pPr>
            <w:r>
              <w:rPr>
                <w:rFonts w:hint="default" w:ascii="Times New Roman" w:hAnsi="Times New Roman" w:eastAsia="仿宋" w:cs="Times New Roman"/>
                <w:lang w:val="en-US" w:eastAsia="zh-CN"/>
              </w:rPr>
              <w:t>论文4：&lt;阿帕替尼对大鼠肝微粒体细胞色素P(450)3A1酶活性的影响研究&gt;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vMerge w:val="continue"/>
            <w:noWrap w:val="0"/>
            <w:vAlign w:val="center"/>
          </w:tcPr>
          <w:p>
            <w:pPr>
              <w:adjustRightInd w:val="0"/>
              <w:snapToGrid w:val="0"/>
              <w:jc w:val="center"/>
              <w:rPr>
                <w:rFonts w:hint="eastAsia" w:ascii="仿宋" w:hAnsi="仿宋" w:eastAsia="仿宋"/>
                <w:b/>
                <w:bCs/>
              </w:rPr>
            </w:pPr>
          </w:p>
        </w:tc>
        <w:tc>
          <w:tcPr>
            <w:tcW w:w="8072" w:type="dxa"/>
            <w:noWrap w:val="0"/>
            <w:vAlign w:val="center"/>
          </w:tcPr>
          <w:p>
            <w:pPr>
              <w:adjustRightInd w:val="0"/>
              <w:snapToGrid w:val="0"/>
              <w:rPr>
                <w:rFonts w:hint="default" w:ascii="Times New Roman" w:hAnsi="Times New Roman" w:eastAsia="仿宋" w:cs="Times New Roman"/>
                <w:lang w:eastAsia="zh-CN"/>
              </w:rPr>
            </w:pPr>
            <w:r>
              <w:rPr>
                <w:rFonts w:hint="default" w:ascii="Times New Roman" w:hAnsi="Times New Roman" w:eastAsia="仿宋" w:cs="Times New Roman"/>
                <w:lang w:val="en-US" w:eastAsia="zh-CN"/>
              </w:rPr>
              <w:t>论文5：&lt;抗肿瘤药物合理用药拦截系统的构建及应用&gt;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vMerge w:val="continue"/>
            <w:noWrap w:val="0"/>
            <w:vAlign w:val="center"/>
          </w:tcPr>
          <w:p>
            <w:pPr>
              <w:adjustRightInd w:val="0"/>
              <w:snapToGrid w:val="0"/>
              <w:jc w:val="center"/>
              <w:rPr>
                <w:rFonts w:hint="eastAsia" w:ascii="仿宋" w:hAnsi="仿宋" w:eastAsia="仿宋"/>
                <w:b/>
                <w:bCs/>
              </w:rPr>
            </w:pPr>
          </w:p>
        </w:tc>
        <w:tc>
          <w:tcPr>
            <w:tcW w:w="8072" w:type="dxa"/>
            <w:noWrap w:val="0"/>
            <w:vAlign w:val="center"/>
          </w:tcPr>
          <w:p>
            <w:pPr>
              <w:adjustRightInd w:val="0"/>
              <w:snapToGrid w:val="0"/>
              <w:rPr>
                <w:rFonts w:hint="default" w:ascii="Times New Roman" w:hAnsi="Times New Roman" w:eastAsia="仿宋" w:cs="Times New Roman"/>
                <w:lang w:eastAsia="zh-CN"/>
              </w:rPr>
            </w:pPr>
            <w:r>
              <w:rPr>
                <w:rFonts w:hint="default" w:ascii="Times New Roman" w:hAnsi="Times New Roman" w:eastAsia="仿宋" w:cs="Times New Roman"/>
                <w:lang w:val="en-US" w:eastAsia="zh-CN"/>
              </w:rPr>
              <w:t>论文6：&lt;基于PK/PD参数的碳青霉烯类药物给药方案设计&gt;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vMerge w:val="continue"/>
            <w:noWrap w:val="0"/>
            <w:vAlign w:val="center"/>
          </w:tcPr>
          <w:p>
            <w:pPr>
              <w:adjustRightInd w:val="0"/>
              <w:snapToGrid w:val="0"/>
              <w:jc w:val="center"/>
              <w:rPr>
                <w:rFonts w:hint="eastAsia" w:ascii="仿宋" w:hAnsi="仿宋" w:eastAsia="仿宋"/>
                <w:b/>
                <w:bCs/>
              </w:rPr>
            </w:pPr>
          </w:p>
        </w:tc>
        <w:tc>
          <w:tcPr>
            <w:tcW w:w="8072" w:type="dxa"/>
            <w:noWrap w:val="0"/>
            <w:vAlign w:val="center"/>
          </w:tcPr>
          <w:p>
            <w:pPr>
              <w:adjustRightInd w:val="0"/>
              <w:snapToGrid w:val="0"/>
              <w:rPr>
                <w:rFonts w:hint="default" w:ascii="Times New Roman" w:hAnsi="Times New Roman" w:eastAsia="仿宋" w:cs="Times New Roman"/>
                <w:lang w:eastAsia="zh-CN"/>
              </w:rPr>
            </w:pPr>
            <w:r>
              <w:rPr>
                <w:rFonts w:hint="default" w:ascii="Times New Roman" w:hAnsi="Times New Roman" w:eastAsia="仿宋" w:cs="Times New Roman"/>
                <w:lang w:val="en-US" w:eastAsia="zh-CN"/>
              </w:rPr>
              <w:t>论文7：&lt;基于T&gt;MIC的美罗培南的给药方案建立&gt;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vMerge w:val="continue"/>
            <w:noWrap w:val="0"/>
            <w:vAlign w:val="center"/>
          </w:tcPr>
          <w:p>
            <w:pPr>
              <w:adjustRightInd w:val="0"/>
              <w:snapToGrid w:val="0"/>
              <w:jc w:val="center"/>
              <w:rPr>
                <w:rFonts w:hint="eastAsia" w:ascii="仿宋" w:hAnsi="仿宋" w:eastAsia="仿宋"/>
                <w:b/>
                <w:bCs/>
              </w:rPr>
            </w:pPr>
          </w:p>
        </w:tc>
        <w:tc>
          <w:tcPr>
            <w:tcW w:w="8072" w:type="dxa"/>
            <w:noWrap w:val="0"/>
            <w:vAlign w:val="center"/>
          </w:tcPr>
          <w:p>
            <w:pPr>
              <w:adjustRightInd w:val="0"/>
              <w:snapToGrid w:val="0"/>
              <w:rPr>
                <w:rFonts w:hint="default" w:ascii="Times New Roman" w:hAnsi="Times New Roman" w:eastAsia="仿宋" w:cs="Times New Roman"/>
                <w:lang w:eastAsia="zh-CN"/>
              </w:rPr>
            </w:pPr>
            <w:r>
              <w:rPr>
                <w:rFonts w:hint="default" w:ascii="Times New Roman" w:hAnsi="Times New Roman" w:eastAsia="仿宋" w:cs="Times New Roman"/>
                <w:lang w:val="en-US" w:eastAsia="zh-CN"/>
              </w:rPr>
              <w:t>论文8：&lt;基于治疗药物监测的重症患者哌拉西林他唑巴坦PK/PD研究&gt;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15" w:type="dxa"/>
            <w:vMerge w:val="continue"/>
            <w:noWrap w:val="0"/>
            <w:vAlign w:val="center"/>
          </w:tcPr>
          <w:p>
            <w:pPr>
              <w:adjustRightInd w:val="0"/>
              <w:snapToGrid w:val="0"/>
              <w:jc w:val="center"/>
              <w:rPr>
                <w:rFonts w:hint="eastAsia" w:ascii="仿宋" w:hAnsi="仿宋" w:eastAsia="仿宋"/>
                <w:b/>
                <w:bCs/>
              </w:rPr>
            </w:pPr>
          </w:p>
        </w:tc>
        <w:tc>
          <w:tcPr>
            <w:tcW w:w="8072" w:type="dxa"/>
            <w:noWrap w:val="0"/>
            <w:vAlign w:val="center"/>
          </w:tcPr>
          <w:p>
            <w:pPr>
              <w:adjustRightInd w:val="0"/>
              <w:snapToGrid w:val="0"/>
              <w:rPr>
                <w:rFonts w:hint="default" w:ascii="Times New Roman" w:hAnsi="Times New Roman" w:eastAsia="仿宋" w:cs="Times New Roman"/>
                <w:lang w:eastAsia="zh-CN"/>
              </w:rPr>
            </w:pPr>
            <w:r>
              <w:rPr>
                <w:rFonts w:hint="default" w:ascii="Times New Roman" w:hAnsi="Times New Roman" w:eastAsia="仿宋" w:cs="Times New Roman"/>
                <w:lang w:val="en-US" w:eastAsia="zh-CN"/>
              </w:rPr>
              <w:t>论文9：&lt;基于治疗药物监测的重症患者头孢吡肟PK/PD研究&gt;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vMerge w:val="continue"/>
            <w:noWrap w:val="0"/>
            <w:vAlign w:val="center"/>
          </w:tcPr>
          <w:p>
            <w:pPr>
              <w:adjustRightInd w:val="0"/>
              <w:snapToGrid w:val="0"/>
              <w:jc w:val="center"/>
              <w:rPr>
                <w:rFonts w:hint="eastAsia" w:ascii="仿宋" w:hAnsi="仿宋" w:eastAsia="仿宋"/>
                <w:b/>
                <w:bCs/>
              </w:rPr>
            </w:pPr>
          </w:p>
        </w:tc>
        <w:tc>
          <w:tcPr>
            <w:tcW w:w="8072" w:type="dxa"/>
            <w:noWrap w:val="0"/>
            <w:vAlign w:val="center"/>
          </w:tcPr>
          <w:p>
            <w:pPr>
              <w:adjustRightInd w:val="0"/>
              <w:snapToGrid w:val="0"/>
              <w:rPr>
                <w:rFonts w:hint="default" w:ascii="Times New Roman" w:hAnsi="Times New Roman" w:eastAsia="仿宋" w:cs="Times New Roman"/>
                <w:lang w:eastAsia="zh-CN"/>
              </w:rPr>
            </w:pPr>
            <w:r>
              <w:rPr>
                <w:rFonts w:hint="default" w:ascii="Times New Roman" w:hAnsi="Times New Roman" w:eastAsia="仿宋" w:cs="Times New Roman"/>
                <w:lang w:val="en-US" w:eastAsia="zh-CN"/>
              </w:rPr>
              <w:t>论文10：&lt;基于治疗药物监测及Bayesian反馈法的美罗培南注射剂药代动力学/药效学研究&gt;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vMerge w:val="continue"/>
            <w:noWrap w:val="0"/>
            <w:vAlign w:val="center"/>
          </w:tcPr>
          <w:p>
            <w:pPr>
              <w:adjustRightInd w:val="0"/>
              <w:snapToGrid w:val="0"/>
              <w:jc w:val="center"/>
              <w:rPr>
                <w:rFonts w:hint="eastAsia" w:ascii="仿宋" w:hAnsi="仿宋" w:eastAsia="仿宋"/>
                <w:b/>
                <w:bCs/>
              </w:rPr>
            </w:pPr>
          </w:p>
        </w:tc>
        <w:tc>
          <w:tcPr>
            <w:tcW w:w="8072" w:type="dxa"/>
            <w:noWrap w:val="0"/>
            <w:vAlign w:val="center"/>
          </w:tcPr>
          <w:p>
            <w:pPr>
              <w:adjustRightInd w:val="0"/>
              <w:snapToGrid w:val="0"/>
              <w:rPr>
                <w:rFonts w:hint="default" w:ascii="Times New Roman" w:hAnsi="Times New Roman" w:eastAsia="仿宋" w:cs="Times New Roman"/>
                <w:lang w:eastAsia="zh-CN"/>
              </w:rPr>
            </w:pPr>
            <w:r>
              <w:rPr>
                <w:rFonts w:hint="default" w:ascii="Times New Roman" w:hAnsi="Times New Roman" w:eastAsia="仿宋" w:cs="Times New Roman"/>
                <w:lang w:val="en-US" w:eastAsia="zh-CN"/>
              </w:rPr>
              <w:t>论文11：&lt;替考拉宁在重症肺炎患者中的血药浓度监测与应用分析&gt;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vMerge w:val="continue"/>
            <w:noWrap w:val="0"/>
            <w:vAlign w:val="center"/>
          </w:tcPr>
          <w:p>
            <w:pPr>
              <w:adjustRightInd w:val="0"/>
              <w:snapToGrid w:val="0"/>
              <w:jc w:val="center"/>
              <w:rPr>
                <w:rFonts w:hint="eastAsia" w:ascii="仿宋" w:hAnsi="仿宋" w:eastAsia="仿宋"/>
                <w:b/>
                <w:bCs/>
              </w:rPr>
            </w:pPr>
          </w:p>
        </w:tc>
        <w:tc>
          <w:tcPr>
            <w:tcW w:w="8072" w:type="dxa"/>
            <w:noWrap w:val="0"/>
            <w:vAlign w:val="center"/>
          </w:tcPr>
          <w:p>
            <w:pPr>
              <w:adjustRightInd w:val="0"/>
              <w:snapToGrid w:val="0"/>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论文12：&lt;药师参与多元药物过敏患者围术期抗菌药物品种选择的临床实践&gt;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vMerge w:val="continue"/>
            <w:noWrap w:val="0"/>
            <w:vAlign w:val="center"/>
          </w:tcPr>
          <w:p>
            <w:pPr>
              <w:adjustRightInd w:val="0"/>
              <w:snapToGrid w:val="0"/>
              <w:jc w:val="center"/>
              <w:rPr>
                <w:rFonts w:hint="eastAsia" w:ascii="仿宋" w:hAnsi="仿宋" w:eastAsia="仿宋"/>
                <w:b/>
                <w:bCs/>
              </w:rPr>
            </w:pPr>
          </w:p>
        </w:tc>
        <w:tc>
          <w:tcPr>
            <w:tcW w:w="8072" w:type="dxa"/>
            <w:noWrap w:val="0"/>
            <w:vAlign w:val="center"/>
          </w:tcPr>
          <w:p>
            <w:pPr>
              <w:adjustRightInd w:val="0"/>
              <w:snapToGrid w:val="0"/>
              <w:rPr>
                <w:rFonts w:hint="default" w:ascii="Times New Roman" w:hAnsi="Times New Roman" w:eastAsia="仿宋" w:cs="Times New Roman"/>
                <w:lang w:eastAsia="zh-CN"/>
              </w:rPr>
            </w:pPr>
            <w:r>
              <w:rPr>
                <w:rFonts w:hint="default" w:ascii="Times New Roman" w:hAnsi="Times New Roman" w:eastAsia="仿宋" w:cs="Times New Roman"/>
                <w:lang w:val="en-US" w:eastAsia="zh-CN"/>
              </w:rPr>
              <w:t>论文13：&lt;华法林和阿司匹林联用致胃溃疡并出血1例&gt;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vMerge w:val="continue"/>
            <w:noWrap w:val="0"/>
            <w:vAlign w:val="center"/>
          </w:tcPr>
          <w:p>
            <w:pPr>
              <w:adjustRightInd w:val="0"/>
              <w:snapToGrid w:val="0"/>
              <w:jc w:val="center"/>
              <w:rPr>
                <w:rFonts w:hint="eastAsia" w:ascii="仿宋" w:hAnsi="仿宋" w:eastAsia="仿宋"/>
                <w:b/>
                <w:bCs/>
              </w:rPr>
            </w:pPr>
          </w:p>
        </w:tc>
        <w:tc>
          <w:tcPr>
            <w:tcW w:w="8072" w:type="dxa"/>
            <w:noWrap w:val="0"/>
            <w:vAlign w:val="center"/>
          </w:tcPr>
          <w:p>
            <w:pPr>
              <w:adjustRightInd w:val="0"/>
              <w:snapToGrid w:val="0"/>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论文14：&lt;循证药学方法在临床药师工作中的运用&gt;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vMerge w:val="continue"/>
            <w:noWrap w:val="0"/>
            <w:vAlign w:val="center"/>
          </w:tcPr>
          <w:p>
            <w:pPr>
              <w:adjustRightInd w:val="0"/>
              <w:snapToGrid w:val="0"/>
              <w:jc w:val="center"/>
              <w:rPr>
                <w:rFonts w:hint="eastAsia" w:ascii="仿宋" w:hAnsi="仿宋" w:eastAsia="仿宋"/>
                <w:b/>
                <w:bCs/>
              </w:rPr>
            </w:pPr>
          </w:p>
        </w:tc>
        <w:tc>
          <w:tcPr>
            <w:tcW w:w="8072" w:type="dxa"/>
            <w:noWrap w:val="0"/>
            <w:vAlign w:val="center"/>
          </w:tcPr>
          <w:p>
            <w:pPr>
              <w:adjustRightInd w:val="0"/>
              <w:snapToGrid w:val="0"/>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论文15:&lt;Integrating interacting drugs and genetic variations to improve the predictability of warfarin maintenance dose in Chinese patients&gt;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vMerge w:val="continue"/>
            <w:noWrap w:val="0"/>
            <w:vAlign w:val="center"/>
          </w:tcPr>
          <w:p>
            <w:pPr>
              <w:adjustRightInd w:val="0"/>
              <w:snapToGrid w:val="0"/>
              <w:jc w:val="center"/>
              <w:rPr>
                <w:rFonts w:hint="eastAsia" w:ascii="仿宋" w:hAnsi="仿宋" w:eastAsia="仿宋"/>
                <w:b/>
                <w:bCs/>
              </w:rPr>
            </w:pPr>
          </w:p>
        </w:tc>
        <w:tc>
          <w:tcPr>
            <w:tcW w:w="8072" w:type="dxa"/>
            <w:noWrap w:val="0"/>
            <w:vAlign w:val="center"/>
          </w:tcPr>
          <w:p>
            <w:pPr>
              <w:adjustRightInd w:val="0"/>
              <w:snapToGrid w:val="0"/>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论文16：&lt;Plasma miR-142 accounting for the missing heritability of CYP3A4/5 functionality is associated with pharmacokinetics of clopidogrel. Pharmacogenomics&gt;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vMerge w:val="continue"/>
            <w:noWrap w:val="0"/>
            <w:vAlign w:val="center"/>
          </w:tcPr>
          <w:p>
            <w:pPr>
              <w:adjustRightInd w:val="0"/>
              <w:snapToGrid w:val="0"/>
              <w:jc w:val="center"/>
              <w:rPr>
                <w:rFonts w:hint="eastAsia" w:ascii="仿宋" w:hAnsi="仿宋" w:eastAsia="仿宋"/>
                <w:b/>
                <w:bCs/>
              </w:rPr>
            </w:pPr>
          </w:p>
        </w:tc>
        <w:tc>
          <w:tcPr>
            <w:tcW w:w="8072" w:type="dxa"/>
            <w:noWrap w:val="0"/>
            <w:vAlign w:val="center"/>
          </w:tcPr>
          <w:p>
            <w:pPr>
              <w:adjustRightInd w:val="0"/>
              <w:snapToGrid w:val="0"/>
              <w:rPr>
                <w:rFonts w:hint="default" w:ascii="Times New Roman" w:hAnsi="Times New Roman" w:eastAsia="仿宋" w:cs="Times New Roman"/>
                <w:lang w:eastAsia="zh-CN"/>
              </w:rPr>
            </w:pPr>
            <w:r>
              <w:rPr>
                <w:rFonts w:hint="default" w:ascii="Times New Roman" w:hAnsi="Times New Roman" w:eastAsia="仿宋" w:cs="Times New Roman"/>
                <w:lang w:val="en-US" w:eastAsia="zh-CN"/>
              </w:rPr>
              <w:t xml:space="preserve">论文17：&lt;The influence of genetic polymorphisms and interacting drugs on initial response to warfarin in Chinese patients with heart valve replacement&gt;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vMerge w:val="continue"/>
            <w:noWrap w:val="0"/>
            <w:vAlign w:val="center"/>
          </w:tcPr>
          <w:p>
            <w:pPr>
              <w:adjustRightInd w:val="0"/>
              <w:snapToGrid w:val="0"/>
              <w:jc w:val="center"/>
              <w:rPr>
                <w:rFonts w:hint="eastAsia" w:ascii="仿宋" w:hAnsi="仿宋" w:eastAsia="仿宋"/>
                <w:b/>
                <w:bCs/>
              </w:rPr>
            </w:pPr>
          </w:p>
        </w:tc>
        <w:tc>
          <w:tcPr>
            <w:tcW w:w="8072" w:type="dxa"/>
            <w:noWrap w:val="0"/>
            <w:vAlign w:val="center"/>
          </w:tcPr>
          <w:p>
            <w:pPr>
              <w:adjustRightInd w:val="0"/>
              <w:snapToGrid w:val="0"/>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论文18：&lt;Genomewide Association Study Identifies Novel Genetic Loci That Modify Antiplatelet Effects and Pharmacokinetics of Clopidogrel&gt;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vMerge w:val="continue"/>
            <w:noWrap w:val="0"/>
            <w:vAlign w:val="center"/>
          </w:tcPr>
          <w:p>
            <w:pPr>
              <w:adjustRightInd w:val="0"/>
              <w:snapToGrid w:val="0"/>
              <w:jc w:val="center"/>
              <w:rPr>
                <w:rFonts w:hint="eastAsia" w:ascii="仿宋" w:hAnsi="仿宋" w:eastAsia="仿宋"/>
                <w:b/>
                <w:bCs/>
              </w:rPr>
            </w:pPr>
          </w:p>
        </w:tc>
        <w:tc>
          <w:tcPr>
            <w:tcW w:w="8072" w:type="dxa"/>
            <w:noWrap w:val="0"/>
            <w:vAlign w:val="center"/>
          </w:tcPr>
          <w:p>
            <w:pPr>
              <w:adjustRightInd w:val="0"/>
              <w:snapToGrid w:val="0"/>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论文19：&lt;基因多态性对阿托伐他汀治疗慢性肾脏病致心肌酶改变的影响&gt;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vMerge w:val="continue"/>
            <w:noWrap w:val="0"/>
            <w:vAlign w:val="center"/>
          </w:tcPr>
          <w:p>
            <w:pPr>
              <w:adjustRightInd w:val="0"/>
              <w:snapToGrid w:val="0"/>
              <w:jc w:val="center"/>
              <w:rPr>
                <w:rFonts w:hint="eastAsia" w:ascii="仿宋" w:hAnsi="仿宋" w:eastAsia="仿宋"/>
                <w:b/>
                <w:bCs/>
              </w:rPr>
            </w:pPr>
          </w:p>
        </w:tc>
        <w:tc>
          <w:tcPr>
            <w:tcW w:w="8072" w:type="dxa"/>
            <w:noWrap w:val="0"/>
            <w:vAlign w:val="center"/>
          </w:tcPr>
          <w:p>
            <w:pPr>
              <w:adjustRightInd w:val="0"/>
              <w:snapToGrid w:val="0"/>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论文20：&lt;P2Y1、P2Y12和ITGB3基因多态性对PCI术后氯吡格雷抗血小板效应的影响&gt;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vMerge w:val="restart"/>
            <w:noWrap w:val="0"/>
            <w:vAlign w:val="center"/>
          </w:tcPr>
          <w:p>
            <w:pPr>
              <w:adjustRightInd w:val="0"/>
              <w:snapToGrid w:val="0"/>
              <w:jc w:val="center"/>
              <w:rPr>
                <w:rFonts w:hint="eastAsia" w:ascii="仿宋" w:hAnsi="仿宋" w:eastAsia="仿宋"/>
                <w:b/>
                <w:bCs/>
              </w:rPr>
            </w:pPr>
          </w:p>
          <w:p>
            <w:pPr>
              <w:adjustRightInd w:val="0"/>
              <w:snapToGrid w:val="0"/>
              <w:jc w:val="center"/>
              <w:rPr>
                <w:rFonts w:hint="eastAsia" w:ascii="仿宋" w:hAnsi="仿宋" w:eastAsia="仿宋"/>
                <w:b/>
                <w:bCs/>
              </w:rPr>
            </w:pPr>
          </w:p>
          <w:p>
            <w:pPr>
              <w:adjustRightInd w:val="0"/>
              <w:snapToGrid w:val="0"/>
              <w:jc w:val="center"/>
              <w:rPr>
                <w:rFonts w:hint="eastAsia" w:ascii="仿宋" w:hAnsi="仿宋" w:eastAsia="仿宋"/>
                <w:b/>
                <w:bCs/>
              </w:rPr>
            </w:pPr>
          </w:p>
          <w:p>
            <w:pPr>
              <w:adjustRightInd w:val="0"/>
              <w:snapToGrid w:val="0"/>
              <w:jc w:val="center"/>
              <w:rPr>
                <w:rFonts w:hint="eastAsia" w:ascii="仿宋" w:hAnsi="仿宋" w:eastAsia="仿宋"/>
                <w:b/>
                <w:bCs/>
              </w:rPr>
            </w:pPr>
          </w:p>
          <w:p>
            <w:pPr>
              <w:adjustRightInd w:val="0"/>
              <w:snapToGrid w:val="0"/>
              <w:jc w:val="center"/>
              <w:rPr>
                <w:rFonts w:hint="eastAsia" w:ascii="仿宋" w:hAnsi="仿宋" w:eastAsia="仿宋"/>
                <w:b/>
                <w:bCs/>
              </w:rPr>
            </w:pPr>
          </w:p>
          <w:p>
            <w:pPr>
              <w:adjustRightInd w:val="0"/>
              <w:snapToGrid w:val="0"/>
              <w:jc w:val="center"/>
              <w:rPr>
                <w:rFonts w:hint="eastAsia" w:ascii="仿宋" w:hAnsi="仿宋" w:eastAsia="仿宋"/>
                <w:b/>
                <w:bCs/>
              </w:rPr>
            </w:pPr>
            <w:r>
              <w:rPr>
                <w:rFonts w:hint="eastAsia" w:ascii="仿宋" w:hAnsi="仿宋" w:eastAsia="仿宋"/>
                <w:b/>
                <w:bCs/>
              </w:rPr>
              <w:t>完成人情况</w:t>
            </w:r>
          </w:p>
          <w:p>
            <w:pPr>
              <w:adjustRightInd w:val="0"/>
              <w:snapToGrid w:val="0"/>
              <w:jc w:val="center"/>
              <w:rPr>
                <w:rFonts w:hint="eastAsia" w:ascii="仿宋" w:hAnsi="仿宋" w:eastAsia="仿宋"/>
              </w:rPr>
            </w:pPr>
            <w:r>
              <w:rPr>
                <w:rFonts w:hint="eastAsia" w:ascii="仿宋" w:hAnsi="仿宋" w:eastAsia="仿宋"/>
              </w:rPr>
              <w:t>（姓名、排名、职称、行政职务、工作单位、完成单位，对本项目的贡献）</w:t>
            </w:r>
          </w:p>
        </w:tc>
        <w:tc>
          <w:tcPr>
            <w:tcW w:w="8072" w:type="dxa"/>
            <w:noWrap w:val="0"/>
            <w:vAlign w:val="center"/>
          </w:tcPr>
          <w:p>
            <w:pPr>
              <w:adjustRightInd w:val="0"/>
              <w:snapToGrid w:val="0"/>
              <w:rPr>
                <w:rFonts w:hint="eastAsia" w:ascii="仿宋" w:hAnsi="仿宋" w:eastAsia="仿宋"/>
                <w:lang w:eastAsia="zh-CN"/>
              </w:rPr>
            </w:pPr>
            <w:r>
              <w:rPr>
                <w:rFonts w:hint="default" w:ascii="仿宋" w:hAnsi="仿宋" w:eastAsia="仿宋"/>
                <w:lang w:eastAsia="zh-CN"/>
              </w:rPr>
              <w:t>张述耀</w:t>
            </w:r>
            <w:r>
              <w:rPr>
                <w:rFonts w:hint="eastAsia" w:ascii="仿宋" w:hAnsi="仿宋" w:eastAsia="仿宋"/>
                <w:lang w:eastAsia="zh-CN"/>
              </w:rPr>
              <w:t>（</w:t>
            </w:r>
            <w:r>
              <w:rPr>
                <w:rFonts w:hint="default" w:ascii="仿宋" w:hAnsi="仿宋" w:eastAsia="仿宋"/>
                <w:lang w:eastAsia="zh-CN"/>
              </w:rPr>
              <w:t>第一完成人</w:t>
            </w:r>
            <w:r>
              <w:rPr>
                <w:rFonts w:hint="eastAsia" w:ascii="仿宋" w:hAnsi="仿宋" w:eastAsia="仿宋"/>
                <w:lang w:eastAsia="zh-CN"/>
              </w:rPr>
              <w:t>，</w:t>
            </w:r>
            <w:r>
              <w:rPr>
                <w:rFonts w:hint="default" w:ascii="仿宋" w:hAnsi="仿宋" w:eastAsia="仿宋"/>
                <w:lang w:eastAsia="zh-CN"/>
              </w:rPr>
              <w:t>暨南大学</w:t>
            </w:r>
            <w:r>
              <w:rPr>
                <w:rFonts w:hint="default" w:ascii="仿宋" w:hAnsi="仿宋" w:eastAsia="仿宋"/>
                <w:lang w:val="en-US" w:eastAsia="zh-CN"/>
              </w:rPr>
              <w:t>附属广州红十字会医院药学部</w:t>
            </w:r>
            <w:r>
              <w:rPr>
                <w:rFonts w:hint="eastAsia" w:ascii="仿宋" w:hAnsi="仿宋" w:eastAsia="仿宋"/>
                <w:lang w:val="en-US" w:eastAsia="zh-CN"/>
              </w:rPr>
              <w:t>学科带头人</w:t>
            </w:r>
            <w:r>
              <w:rPr>
                <w:rFonts w:hint="default" w:ascii="仿宋" w:hAnsi="仿宋" w:eastAsia="仿宋"/>
                <w:lang w:eastAsia="zh-CN"/>
              </w:rPr>
              <w:t>，</w:t>
            </w:r>
            <w:r>
              <w:rPr>
                <w:rFonts w:hint="eastAsia" w:ascii="仿宋" w:hAnsi="仿宋" w:eastAsia="仿宋"/>
                <w:lang w:eastAsia="zh-CN"/>
              </w:rPr>
              <w:t>中国药理学会</w:t>
            </w:r>
            <w:r>
              <w:rPr>
                <w:rFonts w:hint="eastAsia" w:ascii="仿宋" w:hAnsi="仿宋" w:eastAsia="仿宋"/>
                <w:lang w:val="en-US" w:eastAsia="zh-CN"/>
              </w:rPr>
              <w:t>TDM基层委员会副主任委员兼秘书长，</w:t>
            </w:r>
            <w:r>
              <w:rPr>
                <w:rFonts w:hint="default" w:ascii="仿宋" w:hAnsi="仿宋" w:eastAsia="仿宋"/>
                <w:lang w:eastAsia="zh-CN"/>
              </w:rPr>
              <w:t>本项目总体规划及方案设计的主要负责人</w:t>
            </w:r>
            <w:r>
              <w:rPr>
                <w:rFonts w:hint="eastAsia" w:ascii="仿宋" w:hAnsi="仿宋" w:eastAsia="仿宋"/>
                <w:lang w:eastAsia="zh-CN"/>
              </w:rPr>
              <w:t>，</w:t>
            </w:r>
            <w:r>
              <w:rPr>
                <w:rFonts w:hint="default" w:ascii="仿宋" w:hAnsi="仿宋" w:eastAsia="仿宋"/>
                <w:lang w:eastAsia="zh-CN"/>
              </w:rPr>
              <w:t>对各项</w:t>
            </w:r>
            <w:r>
              <w:rPr>
                <w:rFonts w:hint="eastAsia" w:ascii="仿宋" w:hAnsi="仿宋" w:eastAsia="仿宋"/>
                <w:lang w:eastAsia="zh-CN"/>
              </w:rPr>
              <w:t>精准用药体系模型</w:t>
            </w:r>
            <w:r>
              <w:rPr>
                <w:rFonts w:hint="default" w:ascii="仿宋" w:hAnsi="仿宋" w:eastAsia="仿宋"/>
                <w:lang w:eastAsia="zh-CN"/>
              </w:rPr>
              <w:t>做出了创造性贡献，共同发表学术论文</w:t>
            </w:r>
            <w:r>
              <w:rPr>
                <w:rFonts w:hint="default" w:ascii="仿宋" w:hAnsi="仿宋" w:eastAsia="仿宋"/>
                <w:lang w:val="en-US" w:eastAsia="zh-CN"/>
              </w:rPr>
              <w:t>3</w:t>
            </w:r>
            <w:r>
              <w:rPr>
                <w:rFonts w:hint="default" w:ascii="仿宋" w:hAnsi="仿宋" w:eastAsia="仿宋"/>
                <w:lang w:eastAsia="zh-CN"/>
              </w:rPr>
              <w:t>篇，论文</w:t>
            </w:r>
            <w:r>
              <w:rPr>
                <w:rFonts w:hint="default" w:ascii="仿宋" w:hAnsi="仿宋" w:eastAsia="仿宋"/>
                <w:lang w:val="en-US" w:eastAsia="zh-CN"/>
              </w:rPr>
              <w:t>4-1、4-2</w:t>
            </w:r>
            <w:r>
              <w:rPr>
                <w:rFonts w:hint="default" w:ascii="仿宋" w:hAnsi="仿宋" w:eastAsia="仿宋"/>
                <w:lang w:eastAsia="zh-CN"/>
              </w:rPr>
              <w:t>通讯作者，论文</w:t>
            </w:r>
            <w:r>
              <w:rPr>
                <w:rFonts w:hint="default" w:ascii="仿宋" w:hAnsi="仿宋" w:eastAsia="仿宋"/>
                <w:lang w:val="en-US" w:eastAsia="zh-CN"/>
              </w:rPr>
              <w:t>4-3</w:t>
            </w:r>
            <w:r>
              <w:rPr>
                <w:rFonts w:hint="default" w:ascii="仿宋" w:hAnsi="仿宋" w:eastAsia="仿宋"/>
                <w:lang w:eastAsia="zh-CN"/>
              </w:rPr>
              <w:t>第一作者</w:t>
            </w:r>
            <w:r>
              <w:rPr>
                <w:rFonts w:hint="eastAsia" w:ascii="仿宋" w:hAnsi="仿宋" w:eastAsia="仿宋"/>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vMerge w:val="continue"/>
            <w:noWrap w:val="0"/>
            <w:vAlign w:val="center"/>
          </w:tcPr>
          <w:p>
            <w:pPr>
              <w:adjustRightInd w:val="0"/>
              <w:snapToGrid w:val="0"/>
              <w:jc w:val="center"/>
              <w:rPr>
                <w:rFonts w:hint="eastAsia" w:ascii="仿宋" w:hAnsi="仿宋" w:eastAsia="仿宋"/>
                <w:b/>
                <w:bCs/>
              </w:rPr>
            </w:pPr>
          </w:p>
        </w:tc>
        <w:tc>
          <w:tcPr>
            <w:tcW w:w="8072" w:type="dxa"/>
            <w:noWrap w:val="0"/>
            <w:vAlign w:val="center"/>
          </w:tcPr>
          <w:p>
            <w:pPr>
              <w:adjustRightInd w:val="0"/>
              <w:snapToGrid w:val="0"/>
              <w:rPr>
                <w:rFonts w:hint="eastAsia" w:ascii="仿宋" w:hAnsi="仿宋" w:eastAsia="仿宋"/>
                <w:lang w:eastAsia="zh-CN"/>
              </w:rPr>
            </w:pPr>
            <w:r>
              <w:rPr>
                <w:rFonts w:hint="default" w:ascii="仿宋" w:hAnsi="仿宋" w:eastAsia="仿宋"/>
                <w:lang w:eastAsia="zh-CN"/>
              </w:rPr>
              <w:t>钟诗龙</w:t>
            </w:r>
            <w:r>
              <w:rPr>
                <w:rFonts w:hint="eastAsia" w:ascii="仿宋" w:hAnsi="仿宋" w:eastAsia="仿宋"/>
                <w:lang w:eastAsia="zh-CN"/>
              </w:rPr>
              <w:t>（</w:t>
            </w:r>
            <w:r>
              <w:rPr>
                <w:rFonts w:hint="default" w:ascii="仿宋" w:hAnsi="仿宋" w:eastAsia="仿宋"/>
                <w:lang w:eastAsia="zh-CN"/>
              </w:rPr>
              <w:t>第二完成人</w:t>
            </w:r>
            <w:r>
              <w:rPr>
                <w:rFonts w:hint="eastAsia" w:ascii="仿宋" w:hAnsi="仿宋" w:eastAsia="仿宋"/>
                <w:lang w:eastAsia="zh-CN"/>
              </w:rPr>
              <w:t>，</w:t>
            </w:r>
            <w:r>
              <w:rPr>
                <w:rFonts w:hint="default" w:ascii="仿宋" w:hAnsi="仿宋" w:eastAsia="仿宋"/>
                <w:lang w:eastAsia="zh-CN"/>
              </w:rPr>
              <w:t>广东省人民医院临床药学科副主任，</w:t>
            </w:r>
            <w:r>
              <w:rPr>
                <w:rFonts w:hint="eastAsia" w:ascii="仿宋" w:hAnsi="仿宋" w:eastAsia="仿宋"/>
                <w:lang w:eastAsia="zh-CN"/>
              </w:rPr>
              <w:t>广东省药理学会</w:t>
            </w:r>
            <w:r>
              <w:rPr>
                <w:rFonts w:hint="eastAsia" w:ascii="仿宋" w:hAnsi="仿宋" w:eastAsia="仿宋"/>
                <w:lang w:val="en-US" w:eastAsia="zh-CN"/>
              </w:rPr>
              <w:t>TDM委员会主任委员，</w:t>
            </w:r>
            <w:r>
              <w:rPr>
                <w:rFonts w:hint="default" w:ascii="仿宋" w:hAnsi="仿宋" w:eastAsia="仿宋"/>
                <w:lang w:eastAsia="zh-CN"/>
              </w:rPr>
              <w:t>是该项目的核心成员，</w:t>
            </w:r>
            <w:r>
              <w:rPr>
                <w:rFonts w:hint="eastAsia" w:ascii="仿宋" w:hAnsi="仿宋" w:eastAsia="仿宋"/>
                <w:lang w:eastAsia="zh-CN"/>
              </w:rPr>
              <w:t>参与</w:t>
            </w:r>
            <w:r>
              <w:rPr>
                <w:rFonts w:hint="default" w:ascii="仿宋" w:hAnsi="仿宋" w:eastAsia="仿宋"/>
                <w:lang w:eastAsia="zh-CN"/>
              </w:rPr>
              <w:t>项目设计、技术平台建立，共同发表学术论文</w:t>
            </w:r>
            <w:r>
              <w:rPr>
                <w:rFonts w:hint="default" w:ascii="仿宋" w:hAnsi="仿宋" w:eastAsia="仿宋"/>
                <w:lang w:val="en-US" w:eastAsia="zh-CN"/>
              </w:rPr>
              <w:t>5</w:t>
            </w:r>
            <w:r>
              <w:rPr>
                <w:rFonts w:hint="default" w:ascii="仿宋" w:hAnsi="仿宋" w:eastAsia="仿宋"/>
                <w:lang w:eastAsia="zh-CN"/>
              </w:rPr>
              <w:t>篇，论文4-1</w:t>
            </w:r>
            <w:r>
              <w:rPr>
                <w:rFonts w:hint="default" w:ascii="仿宋" w:hAnsi="仿宋" w:eastAsia="仿宋"/>
                <w:lang w:val="en-US" w:eastAsia="zh-CN"/>
              </w:rPr>
              <w:t>5、4-17</w:t>
            </w:r>
            <w:r>
              <w:rPr>
                <w:rFonts w:hint="default" w:ascii="仿宋" w:hAnsi="仿宋" w:eastAsia="仿宋"/>
                <w:lang w:eastAsia="zh-CN"/>
              </w:rPr>
              <w:t>第一作者，论文</w:t>
            </w:r>
            <w:r>
              <w:rPr>
                <w:rFonts w:hint="default" w:ascii="仿宋" w:hAnsi="仿宋" w:eastAsia="仿宋"/>
                <w:lang w:val="en-US" w:eastAsia="zh-CN"/>
              </w:rPr>
              <w:t>4-16、</w:t>
            </w:r>
            <w:r>
              <w:rPr>
                <w:rFonts w:hint="default" w:ascii="仿宋" w:hAnsi="仿宋" w:eastAsia="仿宋"/>
                <w:lang w:eastAsia="zh-CN"/>
              </w:rPr>
              <w:t>4-1</w:t>
            </w:r>
            <w:r>
              <w:rPr>
                <w:rFonts w:hint="default" w:ascii="仿宋" w:hAnsi="仿宋" w:eastAsia="仿宋"/>
                <w:lang w:val="en-US" w:eastAsia="zh-CN"/>
              </w:rPr>
              <w:t>8、4-20</w:t>
            </w:r>
            <w:r>
              <w:rPr>
                <w:rFonts w:hint="default" w:ascii="仿宋" w:hAnsi="仿宋" w:eastAsia="仿宋"/>
                <w:lang w:eastAsia="zh-CN"/>
              </w:rPr>
              <w:t>通讯作者署名</w:t>
            </w:r>
            <w:r>
              <w:rPr>
                <w:rFonts w:hint="eastAsia" w:ascii="仿宋" w:hAnsi="仿宋" w:eastAsia="仿宋"/>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vMerge w:val="continue"/>
            <w:noWrap w:val="0"/>
            <w:vAlign w:val="center"/>
          </w:tcPr>
          <w:p>
            <w:pPr>
              <w:adjustRightInd w:val="0"/>
              <w:snapToGrid w:val="0"/>
              <w:jc w:val="center"/>
              <w:rPr>
                <w:rFonts w:hint="eastAsia" w:ascii="仿宋" w:hAnsi="仿宋" w:eastAsia="仿宋"/>
                <w:b/>
                <w:bCs/>
              </w:rPr>
            </w:pPr>
          </w:p>
        </w:tc>
        <w:tc>
          <w:tcPr>
            <w:tcW w:w="8072" w:type="dxa"/>
            <w:noWrap w:val="0"/>
            <w:vAlign w:val="center"/>
          </w:tcPr>
          <w:p>
            <w:pPr>
              <w:adjustRightInd w:val="0"/>
              <w:snapToGrid w:val="0"/>
              <w:rPr>
                <w:rFonts w:hint="default" w:ascii="仿宋" w:hAnsi="仿宋" w:eastAsia="仿宋"/>
                <w:lang w:val="en-US" w:eastAsia="zh-CN"/>
              </w:rPr>
            </w:pPr>
            <w:r>
              <w:rPr>
                <w:rFonts w:hint="default" w:ascii="仿宋" w:hAnsi="仿宋" w:eastAsia="仿宋"/>
                <w:lang w:eastAsia="zh-CN"/>
              </w:rPr>
              <w:t>李昕</w:t>
            </w:r>
            <w:r>
              <w:rPr>
                <w:rFonts w:hint="eastAsia" w:ascii="仿宋" w:hAnsi="仿宋" w:eastAsia="仿宋"/>
                <w:lang w:eastAsia="zh-CN"/>
              </w:rPr>
              <w:t>（</w:t>
            </w:r>
            <w:r>
              <w:rPr>
                <w:rFonts w:hint="default" w:ascii="仿宋" w:hAnsi="仿宋" w:eastAsia="仿宋"/>
                <w:lang w:eastAsia="zh-CN"/>
              </w:rPr>
              <w:t>第三完成人，长沙市第三医院药学部主任，</w:t>
            </w:r>
            <w:r>
              <w:rPr>
                <w:rFonts w:hint="eastAsia" w:ascii="仿宋" w:hAnsi="仿宋" w:eastAsia="仿宋"/>
                <w:lang w:eastAsia="zh-CN"/>
              </w:rPr>
              <w:t>中国药理学会</w:t>
            </w:r>
            <w:r>
              <w:rPr>
                <w:rFonts w:hint="eastAsia" w:ascii="仿宋" w:hAnsi="仿宋" w:eastAsia="仿宋"/>
                <w:lang w:val="en-US" w:eastAsia="zh-CN"/>
              </w:rPr>
              <w:t>TDM基层委员会主任委员，</w:t>
            </w:r>
            <w:r>
              <w:rPr>
                <w:rFonts w:hint="default" w:ascii="仿宋" w:hAnsi="仿宋" w:eastAsia="仿宋"/>
                <w:lang w:eastAsia="zh-CN"/>
              </w:rPr>
              <w:t>参与抗感染精准用药模型的构建，</w:t>
            </w:r>
            <w:r>
              <w:rPr>
                <w:rFonts w:hint="eastAsia" w:ascii="仿宋" w:hAnsi="仿宋" w:eastAsia="仿宋"/>
                <w:lang w:eastAsia="zh-CN"/>
              </w:rPr>
              <w:t>参与</w:t>
            </w:r>
            <w:r>
              <w:rPr>
                <w:rFonts w:hint="default" w:ascii="仿宋" w:hAnsi="仿宋" w:eastAsia="仿宋"/>
                <w:lang w:eastAsia="zh-CN"/>
              </w:rPr>
              <w:t>项目实施的管理和监督、研究成果的推广</w:t>
            </w:r>
            <w:r>
              <w:rPr>
                <w:rFonts w:hint="eastAsia" w:ascii="仿宋" w:hAnsi="仿宋" w:eastAsia="仿宋"/>
                <w:lang w:eastAsia="zh-CN"/>
              </w:rPr>
              <w:t>，</w:t>
            </w:r>
            <w:r>
              <w:rPr>
                <w:rFonts w:hint="default" w:ascii="仿宋" w:hAnsi="仿宋" w:eastAsia="仿宋"/>
                <w:lang w:eastAsia="zh-CN"/>
              </w:rPr>
              <w:t>共同申报</w:t>
            </w:r>
            <w:r>
              <w:rPr>
                <w:rFonts w:hint="default" w:ascii="仿宋" w:hAnsi="仿宋" w:eastAsia="仿宋"/>
                <w:lang w:val="en-US" w:eastAsia="zh-CN"/>
              </w:rPr>
              <w:t>3</w:t>
            </w:r>
            <w:r>
              <w:rPr>
                <w:rFonts w:hint="default" w:ascii="仿宋" w:hAnsi="仿宋" w:eastAsia="仿宋"/>
                <w:lang w:eastAsia="zh-CN"/>
              </w:rPr>
              <w:t>项基金项目，共同发表</w:t>
            </w:r>
            <w:r>
              <w:rPr>
                <w:rFonts w:hint="default" w:ascii="仿宋" w:hAnsi="仿宋" w:eastAsia="仿宋"/>
                <w:lang w:val="en-US" w:eastAsia="zh-CN"/>
              </w:rPr>
              <w:t>5</w:t>
            </w:r>
            <w:r>
              <w:rPr>
                <w:rFonts w:hint="default" w:ascii="仿宋" w:hAnsi="仿宋" w:eastAsia="仿宋"/>
                <w:lang w:eastAsia="zh-CN"/>
              </w:rPr>
              <w:t>篇学术论文，论文</w:t>
            </w:r>
            <w:r>
              <w:rPr>
                <w:rFonts w:hint="default" w:ascii="仿宋" w:hAnsi="仿宋" w:eastAsia="仿宋"/>
                <w:lang w:val="en-US" w:eastAsia="zh-CN"/>
              </w:rPr>
              <w:t>4-（6-10）通讯作者署名</w:t>
            </w:r>
            <w:r>
              <w:rPr>
                <w:rFonts w:hint="eastAsia" w:ascii="仿宋" w:hAnsi="仿宋" w:eastAsia="仿宋"/>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vMerge w:val="continue"/>
            <w:noWrap w:val="0"/>
            <w:vAlign w:val="center"/>
          </w:tcPr>
          <w:p>
            <w:pPr>
              <w:adjustRightInd w:val="0"/>
              <w:snapToGrid w:val="0"/>
              <w:jc w:val="center"/>
              <w:rPr>
                <w:rFonts w:hint="eastAsia" w:ascii="仿宋" w:hAnsi="仿宋" w:eastAsia="仿宋"/>
                <w:b/>
                <w:bCs/>
              </w:rPr>
            </w:pPr>
          </w:p>
        </w:tc>
        <w:tc>
          <w:tcPr>
            <w:tcW w:w="8072" w:type="dxa"/>
            <w:noWrap w:val="0"/>
            <w:vAlign w:val="center"/>
          </w:tcPr>
          <w:p>
            <w:pPr>
              <w:adjustRightInd w:val="0"/>
              <w:snapToGrid w:val="0"/>
              <w:rPr>
                <w:rFonts w:hint="default" w:ascii="仿宋" w:hAnsi="仿宋" w:eastAsia="仿宋"/>
                <w:lang w:val="en-US" w:eastAsia="zh-CN"/>
              </w:rPr>
            </w:pPr>
            <w:r>
              <w:rPr>
                <w:rFonts w:hint="default" w:ascii="仿宋" w:hAnsi="仿宋" w:eastAsia="仿宋"/>
                <w:lang w:eastAsia="zh-CN"/>
              </w:rPr>
              <w:t>刘韬</w:t>
            </w:r>
            <w:r>
              <w:rPr>
                <w:rFonts w:hint="eastAsia" w:ascii="仿宋" w:hAnsi="仿宋" w:eastAsia="仿宋"/>
                <w:lang w:eastAsia="zh-CN"/>
              </w:rPr>
              <w:t>（</w:t>
            </w:r>
            <w:r>
              <w:rPr>
                <w:rFonts w:hint="default" w:ascii="仿宋" w:hAnsi="仿宋" w:eastAsia="仿宋"/>
                <w:lang w:eastAsia="zh-CN"/>
              </w:rPr>
              <w:t>第四完成人，中山大学肿瘤防治中心药学部副主任，</w:t>
            </w:r>
            <w:r>
              <w:rPr>
                <w:rFonts w:hint="eastAsia" w:ascii="仿宋" w:hAnsi="仿宋" w:eastAsia="仿宋"/>
                <w:lang w:eastAsia="zh-CN"/>
              </w:rPr>
              <w:t>广东省药理学会</w:t>
            </w:r>
            <w:r>
              <w:rPr>
                <w:rFonts w:hint="eastAsia" w:ascii="仿宋" w:hAnsi="仿宋" w:eastAsia="仿宋"/>
                <w:lang w:val="en-US" w:eastAsia="zh-CN"/>
              </w:rPr>
              <w:t>TDM委员会常务委员，</w:t>
            </w:r>
            <w:r>
              <w:rPr>
                <w:rFonts w:hint="default" w:ascii="仿宋" w:hAnsi="仿宋" w:eastAsia="仿宋"/>
                <w:lang w:eastAsia="zh-CN"/>
              </w:rPr>
              <w:t>参与抗肿瘤精准用药模型的构建，根据肿瘤治疗领域最新进展制定研究规划并提供真实世界的治疗现状，共同发表</w:t>
            </w:r>
            <w:r>
              <w:rPr>
                <w:rFonts w:hint="default" w:ascii="仿宋" w:hAnsi="仿宋" w:eastAsia="仿宋"/>
                <w:lang w:val="en-US" w:eastAsia="zh-CN"/>
              </w:rPr>
              <w:t>3</w:t>
            </w:r>
            <w:r>
              <w:rPr>
                <w:rFonts w:hint="default" w:ascii="仿宋" w:hAnsi="仿宋" w:eastAsia="仿宋"/>
                <w:lang w:eastAsia="zh-CN"/>
              </w:rPr>
              <w:t>篇学术论文，论文</w:t>
            </w:r>
            <w:r>
              <w:rPr>
                <w:rFonts w:hint="default" w:ascii="仿宋" w:hAnsi="仿宋" w:eastAsia="仿宋"/>
                <w:lang w:val="en-US" w:eastAsia="zh-CN"/>
              </w:rPr>
              <w:t>4-2通讯作者，论文4-5、4-12第六作者</w:t>
            </w:r>
            <w:r>
              <w:rPr>
                <w:rFonts w:hint="eastAsia" w:ascii="仿宋" w:hAnsi="仿宋" w:eastAsia="仿宋"/>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vMerge w:val="continue"/>
            <w:noWrap w:val="0"/>
            <w:vAlign w:val="center"/>
          </w:tcPr>
          <w:p>
            <w:pPr>
              <w:adjustRightInd w:val="0"/>
              <w:snapToGrid w:val="0"/>
              <w:jc w:val="center"/>
              <w:rPr>
                <w:rFonts w:hint="eastAsia" w:ascii="仿宋" w:hAnsi="仿宋" w:eastAsia="仿宋"/>
                <w:b/>
                <w:bCs/>
              </w:rPr>
            </w:pPr>
          </w:p>
        </w:tc>
        <w:tc>
          <w:tcPr>
            <w:tcW w:w="8072" w:type="dxa"/>
            <w:noWrap w:val="0"/>
            <w:vAlign w:val="center"/>
          </w:tcPr>
          <w:p>
            <w:pPr>
              <w:adjustRightInd w:val="0"/>
              <w:snapToGrid w:val="0"/>
              <w:rPr>
                <w:rFonts w:hint="default" w:ascii="仿宋" w:hAnsi="仿宋" w:eastAsia="仿宋"/>
                <w:lang w:val="en-US" w:eastAsia="zh-CN"/>
              </w:rPr>
            </w:pPr>
            <w:r>
              <w:rPr>
                <w:rFonts w:hint="default" w:ascii="仿宋" w:hAnsi="仿宋" w:eastAsia="仿宋"/>
                <w:lang w:eastAsia="zh-CN"/>
              </w:rPr>
              <w:t>余细勇</w:t>
            </w:r>
            <w:r>
              <w:rPr>
                <w:rFonts w:hint="eastAsia" w:ascii="仿宋" w:hAnsi="仿宋" w:eastAsia="仿宋"/>
                <w:lang w:eastAsia="zh-CN"/>
              </w:rPr>
              <w:t>（</w:t>
            </w:r>
            <w:r>
              <w:rPr>
                <w:rFonts w:hint="default" w:ascii="仿宋" w:hAnsi="仿宋" w:eastAsia="仿宋"/>
                <w:lang w:eastAsia="zh-CN"/>
              </w:rPr>
              <w:t>第五完成人，广州医科大学药学院院长，</w:t>
            </w:r>
            <w:r>
              <w:rPr>
                <w:rFonts w:hint="eastAsia" w:ascii="仿宋" w:hAnsi="仿宋" w:eastAsia="仿宋"/>
                <w:lang w:eastAsia="zh-CN"/>
              </w:rPr>
              <w:t>广东省药理学会</w:t>
            </w:r>
            <w:r>
              <w:rPr>
                <w:rFonts w:hint="eastAsia" w:ascii="仿宋" w:hAnsi="仿宋" w:eastAsia="仿宋"/>
                <w:lang w:val="en-US" w:eastAsia="zh-CN"/>
              </w:rPr>
              <w:t>TDM委员会专家顾问，</w:t>
            </w:r>
            <w:r>
              <w:rPr>
                <w:rFonts w:hint="default" w:ascii="仿宋" w:hAnsi="仿宋" w:eastAsia="仿宋"/>
                <w:lang w:eastAsia="zh-CN"/>
              </w:rPr>
              <w:t>参与精准抗栓治疗用药模型的构建，共同发表</w:t>
            </w:r>
            <w:r>
              <w:rPr>
                <w:rFonts w:hint="default" w:ascii="仿宋" w:hAnsi="仿宋" w:eastAsia="仿宋"/>
                <w:lang w:val="en-US" w:eastAsia="zh-CN"/>
              </w:rPr>
              <w:t>2</w:t>
            </w:r>
            <w:r>
              <w:rPr>
                <w:rFonts w:hint="default" w:ascii="仿宋" w:hAnsi="仿宋" w:eastAsia="仿宋"/>
                <w:lang w:eastAsia="zh-CN"/>
              </w:rPr>
              <w:t>篇学术论文，论文</w:t>
            </w:r>
            <w:r>
              <w:rPr>
                <w:rFonts w:hint="default" w:ascii="仿宋" w:hAnsi="仿宋" w:eastAsia="仿宋"/>
                <w:lang w:val="en-US" w:eastAsia="zh-CN"/>
              </w:rPr>
              <w:t>4-15、4-17通讯作者署名</w:t>
            </w:r>
            <w:r>
              <w:rPr>
                <w:rFonts w:hint="eastAsia" w:ascii="仿宋" w:hAnsi="仿宋" w:eastAsia="仿宋"/>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vMerge w:val="continue"/>
            <w:noWrap w:val="0"/>
            <w:vAlign w:val="center"/>
          </w:tcPr>
          <w:p>
            <w:pPr>
              <w:adjustRightInd w:val="0"/>
              <w:snapToGrid w:val="0"/>
              <w:jc w:val="center"/>
              <w:rPr>
                <w:rFonts w:hint="eastAsia" w:ascii="仿宋" w:hAnsi="仿宋" w:eastAsia="仿宋"/>
                <w:b/>
                <w:bCs/>
              </w:rPr>
            </w:pPr>
          </w:p>
        </w:tc>
        <w:tc>
          <w:tcPr>
            <w:tcW w:w="8072" w:type="dxa"/>
            <w:noWrap w:val="0"/>
            <w:vAlign w:val="center"/>
          </w:tcPr>
          <w:p>
            <w:pPr>
              <w:adjustRightInd w:val="0"/>
              <w:snapToGrid w:val="0"/>
              <w:rPr>
                <w:rFonts w:hint="default" w:ascii="仿宋" w:hAnsi="仿宋" w:eastAsia="仿宋"/>
                <w:lang w:val="en-US" w:eastAsia="zh-CN"/>
              </w:rPr>
            </w:pPr>
            <w:r>
              <w:rPr>
                <w:rFonts w:hint="default" w:ascii="仿宋" w:hAnsi="仿宋" w:eastAsia="仿宋"/>
                <w:lang w:eastAsia="zh-CN"/>
              </w:rPr>
              <w:t>郑付春</w:t>
            </w:r>
            <w:r>
              <w:rPr>
                <w:rFonts w:hint="eastAsia" w:ascii="仿宋" w:hAnsi="仿宋" w:eastAsia="仿宋"/>
                <w:lang w:eastAsia="zh-CN"/>
              </w:rPr>
              <w:t>（</w:t>
            </w:r>
            <w:r>
              <w:rPr>
                <w:rFonts w:hint="default" w:ascii="仿宋" w:hAnsi="仿宋" w:eastAsia="仿宋"/>
                <w:lang w:eastAsia="zh-CN"/>
              </w:rPr>
              <w:t>第六完成人，</w:t>
            </w:r>
            <w:r>
              <w:rPr>
                <w:rFonts w:hint="default" w:ascii="仿宋" w:hAnsi="仿宋" w:eastAsia="仿宋"/>
                <w:lang w:val="en-US" w:eastAsia="zh-CN"/>
              </w:rPr>
              <w:t>汕头大学医学院第一附属医院</w:t>
            </w:r>
            <w:r>
              <w:rPr>
                <w:rFonts w:hint="default" w:ascii="仿宋" w:hAnsi="仿宋" w:eastAsia="仿宋"/>
                <w:lang w:eastAsia="zh-CN"/>
              </w:rPr>
              <w:t>科教科副科长，</w:t>
            </w:r>
            <w:r>
              <w:rPr>
                <w:rFonts w:hint="eastAsia" w:ascii="仿宋" w:hAnsi="仿宋" w:eastAsia="仿宋"/>
                <w:lang w:eastAsia="zh-CN"/>
              </w:rPr>
              <w:t>中国药理学会</w:t>
            </w:r>
            <w:r>
              <w:rPr>
                <w:rFonts w:hint="eastAsia" w:ascii="仿宋" w:hAnsi="仿宋" w:eastAsia="仿宋"/>
                <w:lang w:val="en-US" w:eastAsia="zh-CN"/>
              </w:rPr>
              <w:t>TDM基层委员会常务委员，</w:t>
            </w:r>
            <w:r>
              <w:rPr>
                <w:rFonts w:hint="default" w:ascii="仿宋" w:hAnsi="仿宋" w:eastAsia="仿宋"/>
                <w:lang w:eastAsia="zh-CN"/>
              </w:rPr>
              <w:t>参与精准抗栓治疗用药模型的构建，</w:t>
            </w:r>
            <w:r>
              <w:rPr>
                <w:rFonts w:hint="eastAsia" w:ascii="仿宋" w:hAnsi="仿宋" w:eastAsia="仿宋"/>
                <w:lang w:eastAsia="zh-CN"/>
              </w:rPr>
              <w:t>参与</w:t>
            </w:r>
            <w:r>
              <w:rPr>
                <w:rFonts w:hint="default" w:ascii="仿宋" w:hAnsi="仿宋" w:eastAsia="仿宋"/>
                <w:lang w:eastAsia="zh-CN"/>
              </w:rPr>
              <w:t>项目实施的管理和监督</w:t>
            </w:r>
            <w:r>
              <w:rPr>
                <w:rFonts w:hint="eastAsia" w:ascii="仿宋" w:hAnsi="仿宋" w:eastAsia="仿宋"/>
                <w:lang w:eastAsia="zh-CN"/>
              </w:rPr>
              <w:t>，</w:t>
            </w:r>
            <w:r>
              <w:rPr>
                <w:rFonts w:hint="default" w:ascii="仿宋" w:hAnsi="仿宋" w:eastAsia="仿宋"/>
                <w:lang w:eastAsia="zh-CN"/>
              </w:rPr>
              <w:t>共同发表学术论文1篇，论文4-19通讯作者署名</w:t>
            </w:r>
            <w:r>
              <w:rPr>
                <w:rFonts w:hint="eastAsia" w:ascii="仿宋" w:hAnsi="仿宋" w:eastAsia="仿宋"/>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vMerge w:val="continue"/>
            <w:noWrap w:val="0"/>
            <w:vAlign w:val="center"/>
          </w:tcPr>
          <w:p>
            <w:pPr>
              <w:adjustRightInd w:val="0"/>
              <w:snapToGrid w:val="0"/>
              <w:jc w:val="center"/>
              <w:rPr>
                <w:rFonts w:hint="eastAsia" w:ascii="仿宋" w:hAnsi="仿宋" w:eastAsia="仿宋"/>
                <w:b/>
                <w:bCs/>
              </w:rPr>
            </w:pPr>
          </w:p>
        </w:tc>
        <w:tc>
          <w:tcPr>
            <w:tcW w:w="8072" w:type="dxa"/>
            <w:noWrap w:val="0"/>
            <w:vAlign w:val="center"/>
          </w:tcPr>
          <w:p>
            <w:pPr>
              <w:adjustRightInd w:val="0"/>
              <w:snapToGrid w:val="0"/>
              <w:rPr>
                <w:rFonts w:hint="default" w:ascii="仿宋" w:hAnsi="仿宋" w:eastAsia="仿宋"/>
                <w:lang w:val="en-US" w:eastAsia="zh-CN"/>
              </w:rPr>
            </w:pPr>
            <w:r>
              <w:rPr>
                <w:rFonts w:hint="default" w:ascii="仿宋" w:hAnsi="仿宋" w:eastAsia="仿宋"/>
                <w:lang w:eastAsia="zh-CN"/>
              </w:rPr>
              <w:t>赖伟华</w:t>
            </w:r>
            <w:r>
              <w:rPr>
                <w:rFonts w:hint="eastAsia" w:ascii="仿宋" w:hAnsi="仿宋" w:eastAsia="仿宋"/>
                <w:lang w:eastAsia="zh-CN"/>
              </w:rPr>
              <w:t>（</w:t>
            </w:r>
            <w:r>
              <w:rPr>
                <w:rFonts w:hint="default" w:ascii="仿宋" w:hAnsi="仿宋" w:eastAsia="仿宋"/>
                <w:lang w:eastAsia="zh-CN"/>
              </w:rPr>
              <w:t>第七完成人，广东省人民医院药学部主任，</w:t>
            </w:r>
            <w:r>
              <w:rPr>
                <w:rFonts w:hint="eastAsia" w:ascii="仿宋" w:hAnsi="仿宋" w:eastAsia="仿宋"/>
                <w:lang w:eastAsia="zh-CN"/>
              </w:rPr>
              <w:t>广东省药理学会</w:t>
            </w:r>
            <w:r>
              <w:rPr>
                <w:rFonts w:hint="eastAsia" w:ascii="仿宋" w:hAnsi="仿宋" w:eastAsia="仿宋"/>
                <w:lang w:val="en-US" w:eastAsia="zh-CN"/>
              </w:rPr>
              <w:t>TDM委员会常务委员，</w:t>
            </w:r>
            <w:r>
              <w:rPr>
                <w:rFonts w:hint="default" w:ascii="仿宋" w:hAnsi="仿宋" w:eastAsia="仿宋"/>
                <w:lang w:eastAsia="zh-CN"/>
              </w:rPr>
              <w:t>参与精准抗栓治疗用药模型的构建，负责本项目基础研究部分及学术论文撰写，共同发表学术论文1篇，论文</w:t>
            </w:r>
            <w:r>
              <w:rPr>
                <w:rFonts w:hint="default" w:ascii="仿宋" w:hAnsi="仿宋" w:eastAsia="仿宋"/>
                <w:lang w:val="en-US" w:eastAsia="zh-CN"/>
              </w:rPr>
              <w:t>4-20</w:t>
            </w:r>
            <w:r>
              <w:rPr>
                <w:rFonts w:hint="default" w:ascii="仿宋" w:hAnsi="仿宋" w:eastAsia="仿宋"/>
                <w:lang w:eastAsia="zh-CN"/>
              </w:rPr>
              <w:t>第一作者</w:t>
            </w:r>
            <w:r>
              <w:rPr>
                <w:rFonts w:hint="eastAsia" w:ascii="仿宋" w:hAnsi="仿宋" w:eastAsia="仿宋"/>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vMerge w:val="continue"/>
            <w:noWrap w:val="0"/>
            <w:vAlign w:val="center"/>
          </w:tcPr>
          <w:p>
            <w:pPr>
              <w:adjustRightInd w:val="0"/>
              <w:snapToGrid w:val="0"/>
              <w:jc w:val="center"/>
              <w:rPr>
                <w:rFonts w:hint="eastAsia" w:ascii="仿宋" w:hAnsi="仿宋" w:eastAsia="仿宋"/>
                <w:b/>
                <w:bCs/>
              </w:rPr>
            </w:pPr>
          </w:p>
        </w:tc>
        <w:tc>
          <w:tcPr>
            <w:tcW w:w="8072" w:type="dxa"/>
            <w:noWrap w:val="0"/>
            <w:vAlign w:val="center"/>
          </w:tcPr>
          <w:p>
            <w:pPr>
              <w:adjustRightInd w:val="0"/>
              <w:snapToGrid w:val="0"/>
              <w:rPr>
                <w:rFonts w:hint="default" w:ascii="仿宋" w:hAnsi="仿宋" w:eastAsia="仿宋"/>
                <w:lang w:val="en-US" w:eastAsia="zh-CN"/>
              </w:rPr>
            </w:pPr>
            <w:r>
              <w:rPr>
                <w:rFonts w:hint="default" w:ascii="仿宋" w:hAnsi="仿宋" w:eastAsia="仿宋"/>
                <w:lang w:eastAsia="zh-CN"/>
              </w:rPr>
              <w:t>章小燕</w:t>
            </w:r>
            <w:r>
              <w:rPr>
                <w:rFonts w:hint="eastAsia" w:ascii="仿宋" w:hAnsi="仿宋" w:eastAsia="仿宋"/>
                <w:lang w:eastAsia="zh-CN"/>
              </w:rPr>
              <w:t>（</w:t>
            </w:r>
            <w:r>
              <w:rPr>
                <w:rFonts w:hint="default" w:ascii="仿宋" w:hAnsi="仿宋" w:eastAsia="仿宋"/>
                <w:lang w:eastAsia="zh-CN"/>
              </w:rPr>
              <w:t>第八完成人，暨南大学附属广州红十字会医院副主任药师，</w:t>
            </w:r>
            <w:r>
              <w:rPr>
                <w:rFonts w:hint="eastAsia" w:ascii="仿宋" w:hAnsi="仿宋" w:eastAsia="仿宋"/>
                <w:lang w:eastAsia="zh-CN"/>
              </w:rPr>
              <w:t>广东省药理学会</w:t>
            </w:r>
            <w:r>
              <w:rPr>
                <w:rFonts w:hint="eastAsia" w:ascii="仿宋" w:hAnsi="仿宋" w:eastAsia="仿宋"/>
                <w:lang w:val="en-US" w:eastAsia="zh-CN"/>
              </w:rPr>
              <w:t>TDM委员会委员，</w:t>
            </w:r>
            <w:r>
              <w:rPr>
                <w:rFonts w:hint="default" w:ascii="仿宋" w:hAnsi="仿宋" w:eastAsia="仿宋"/>
                <w:lang w:eastAsia="zh-CN"/>
              </w:rPr>
              <w:t>参与精准抗栓治疗用药模型的构建，共同发表学术论文</w:t>
            </w:r>
            <w:r>
              <w:rPr>
                <w:rFonts w:hint="default" w:ascii="仿宋" w:hAnsi="仿宋" w:eastAsia="仿宋"/>
                <w:lang w:val="en-US" w:eastAsia="zh-CN"/>
              </w:rPr>
              <w:t>2</w:t>
            </w:r>
            <w:r>
              <w:rPr>
                <w:rFonts w:hint="default" w:ascii="仿宋" w:hAnsi="仿宋" w:eastAsia="仿宋"/>
                <w:lang w:eastAsia="zh-CN"/>
              </w:rPr>
              <w:t>篇，论文</w:t>
            </w:r>
            <w:r>
              <w:rPr>
                <w:rFonts w:hint="default" w:ascii="仿宋" w:hAnsi="仿宋" w:eastAsia="仿宋"/>
                <w:lang w:val="en-US" w:eastAsia="zh-CN"/>
              </w:rPr>
              <w:t>4-13、4-14通讯兼第一作者</w:t>
            </w:r>
            <w:r>
              <w:rPr>
                <w:rFonts w:hint="eastAsia" w:ascii="仿宋" w:hAnsi="仿宋" w:eastAsia="仿宋"/>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vMerge w:val="continue"/>
            <w:noWrap w:val="0"/>
            <w:vAlign w:val="center"/>
          </w:tcPr>
          <w:p>
            <w:pPr>
              <w:adjustRightInd w:val="0"/>
              <w:snapToGrid w:val="0"/>
              <w:jc w:val="center"/>
              <w:rPr>
                <w:rFonts w:hint="eastAsia" w:ascii="仿宋" w:hAnsi="仿宋" w:eastAsia="仿宋"/>
                <w:b/>
                <w:bCs/>
              </w:rPr>
            </w:pPr>
          </w:p>
        </w:tc>
        <w:tc>
          <w:tcPr>
            <w:tcW w:w="8072" w:type="dxa"/>
            <w:noWrap w:val="0"/>
            <w:vAlign w:val="center"/>
          </w:tcPr>
          <w:p>
            <w:pPr>
              <w:adjustRightInd w:val="0"/>
              <w:snapToGrid w:val="0"/>
              <w:rPr>
                <w:rFonts w:hint="default" w:ascii="仿宋" w:hAnsi="仿宋" w:eastAsia="仿宋"/>
                <w:lang w:val="en-US" w:eastAsia="zh-CN"/>
              </w:rPr>
            </w:pPr>
            <w:r>
              <w:rPr>
                <w:rFonts w:hint="default" w:ascii="仿宋" w:hAnsi="仿宋" w:eastAsia="仿宋"/>
                <w:lang w:eastAsia="zh-CN"/>
              </w:rPr>
              <w:t>黄红兵</w:t>
            </w:r>
            <w:r>
              <w:rPr>
                <w:rFonts w:hint="eastAsia" w:ascii="仿宋" w:hAnsi="仿宋" w:eastAsia="仿宋"/>
                <w:lang w:eastAsia="zh-CN"/>
              </w:rPr>
              <w:t>（</w:t>
            </w:r>
            <w:r>
              <w:rPr>
                <w:rFonts w:hint="default" w:ascii="仿宋" w:hAnsi="仿宋" w:eastAsia="仿宋"/>
                <w:lang w:eastAsia="zh-CN"/>
              </w:rPr>
              <w:t>第九完成人，中山大学肿瘤防治中心药学部主任，</w:t>
            </w:r>
            <w:r>
              <w:rPr>
                <w:rFonts w:hint="eastAsia" w:ascii="仿宋" w:hAnsi="仿宋" w:eastAsia="仿宋"/>
                <w:lang w:eastAsia="zh-CN"/>
              </w:rPr>
              <w:t>广东省药理学会</w:t>
            </w:r>
            <w:r>
              <w:rPr>
                <w:rFonts w:hint="eastAsia" w:ascii="仿宋" w:hAnsi="仿宋" w:eastAsia="仿宋"/>
                <w:lang w:val="en-US" w:eastAsia="zh-CN"/>
              </w:rPr>
              <w:t>TDM委员会常务委员，</w:t>
            </w:r>
            <w:r>
              <w:rPr>
                <w:rFonts w:hint="default" w:ascii="仿宋" w:hAnsi="仿宋" w:eastAsia="仿宋"/>
                <w:lang w:eastAsia="zh-CN"/>
              </w:rPr>
              <w:t>参与抗肿瘤精准用药模型的构建，对项目实施中肿瘤治疗领域最新进展的研究规划给予方案指导；共同发表</w:t>
            </w:r>
            <w:r>
              <w:rPr>
                <w:rFonts w:hint="default" w:ascii="仿宋" w:hAnsi="仿宋" w:eastAsia="仿宋"/>
                <w:lang w:val="en-US" w:eastAsia="zh-CN"/>
              </w:rPr>
              <w:t>3</w:t>
            </w:r>
            <w:r>
              <w:rPr>
                <w:rFonts w:hint="default" w:ascii="仿宋" w:hAnsi="仿宋" w:eastAsia="仿宋"/>
                <w:lang w:eastAsia="zh-CN"/>
              </w:rPr>
              <w:t>篇学术论文，论文</w:t>
            </w:r>
            <w:r>
              <w:rPr>
                <w:rFonts w:hint="default" w:ascii="仿宋" w:hAnsi="仿宋" w:eastAsia="仿宋"/>
                <w:lang w:val="en-US" w:eastAsia="zh-CN"/>
              </w:rPr>
              <w:t>4-4第三作者，论文4-5、4-12第七作者</w:t>
            </w:r>
            <w:r>
              <w:rPr>
                <w:rFonts w:hint="eastAsia" w:ascii="仿宋" w:hAnsi="仿宋" w:eastAsia="仿宋"/>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615" w:type="dxa"/>
            <w:vMerge w:val="continue"/>
            <w:noWrap w:val="0"/>
            <w:vAlign w:val="center"/>
          </w:tcPr>
          <w:p>
            <w:pPr>
              <w:adjustRightInd w:val="0"/>
              <w:snapToGrid w:val="0"/>
              <w:jc w:val="center"/>
              <w:rPr>
                <w:rFonts w:hint="eastAsia" w:ascii="仿宋" w:hAnsi="仿宋" w:eastAsia="仿宋"/>
                <w:b/>
                <w:bCs/>
              </w:rPr>
            </w:pPr>
          </w:p>
        </w:tc>
        <w:tc>
          <w:tcPr>
            <w:tcW w:w="8072" w:type="dxa"/>
            <w:noWrap w:val="0"/>
            <w:vAlign w:val="center"/>
          </w:tcPr>
          <w:p>
            <w:pPr>
              <w:adjustRightInd w:val="0"/>
              <w:snapToGrid w:val="0"/>
              <w:rPr>
                <w:rFonts w:hint="eastAsia" w:ascii="仿宋" w:hAnsi="仿宋" w:eastAsia="仿宋"/>
                <w:lang w:eastAsia="zh-CN"/>
              </w:rPr>
            </w:pPr>
            <w:r>
              <w:rPr>
                <w:rFonts w:hint="default" w:ascii="仿宋" w:hAnsi="仿宋" w:eastAsia="仿宋"/>
                <w:lang w:eastAsia="zh-CN"/>
              </w:rPr>
              <w:t>陈文瑛</w:t>
            </w:r>
            <w:r>
              <w:rPr>
                <w:rFonts w:hint="eastAsia" w:ascii="仿宋" w:hAnsi="仿宋" w:eastAsia="仿宋"/>
                <w:lang w:eastAsia="zh-CN"/>
              </w:rPr>
              <w:t>（</w:t>
            </w:r>
            <w:r>
              <w:rPr>
                <w:rFonts w:hint="default" w:ascii="仿宋" w:hAnsi="仿宋" w:eastAsia="仿宋"/>
                <w:lang w:eastAsia="zh-CN"/>
              </w:rPr>
              <w:t>第十完成人，</w:t>
            </w:r>
            <w:r>
              <w:rPr>
                <w:rFonts w:hint="default" w:ascii="仿宋" w:hAnsi="仿宋" w:eastAsia="仿宋"/>
                <w:lang w:val="en-US" w:eastAsia="zh-CN"/>
              </w:rPr>
              <w:t>南方医科大学第三附属医院药学部主任，</w:t>
            </w:r>
            <w:r>
              <w:rPr>
                <w:rFonts w:hint="eastAsia" w:ascii="仿宋" w:hAnsi="仿宋" w:eastAsia="仿宋"/>
                <w:lang w:eastAsia="zh-CN"/>
              </w:rPr>
              <w:t>广东省药理学会</w:t>
            </w:r>
            <w:r>
              <w:rPr>
                <w:rFonts w:hint="eastAsia" w:ascii="仿宋" w:hAnsi="仿宋" w:eastAsia="仿宋"/>
                <w:lang w:val="en-US" w:eastAsia="zh-CN"/>
              </w:rPr>
              <w:t>TDM委员会副主任委员，</w:t>
            </w:r>
            <w:r>
              <w:rPr>
                <w:rFonts w:hint="default" w:ascii="仿宋" w:hAnsi="仿宋" w:eastAsia="仿宋"/>
                <w:lang w:eastAsia="zh-CN"/>
              </w:rPr>
              <w:t>参与抗感染精准用药模型的构建</w:t>
            </w:r>
            <w:r>
              <w:rPr>
                <w:rFonts w:hint="eastAsia" w:ascii="仿宋" w:hAnsi="仿宋" w:eastAsia="仿宋"/>
                <w:lang w:eastAsia="zh-CN"/>
              </w:rPr>
              <w:t>、</w:t>
            </w:r>
            <w:bookmarkStart w:id="0" w:name="_GoBack"/>
            <w:bookmarkEnd w:id="0"/>
            <w:r>
              <w:rPr>
                <w:rFonts w:hint="default" w:ascii="仿宋" w:hAnsi="仿宋" w:eastAsia="仿宋"/>
                <w:lang w:eastAsia="zh-CN"/>
              </w:rPr>
              <w:t>研究成果的推广</w:t>
            </w:r>
            <w:r>
              <w:rPr>
                <w:rFonts w:hint="eastAsia" w:ascii="仿宋" w:hAnsi="仿宋" w:eastAsia="仿宋"/>
                <w:lang w:eastAsia="zh-CN"/>
              </w:rPr>
              <w:t>，</w:t>
            </w:r>
            <w:r>
              <w:rPr>
                <w:rFonts w:hint="default" w:ascii="仿宋" w:hAnsi="仿宋" w:eastAsia="仿宋"/>
                <w:lang w:eastAsia="zh-CN"/>
              </w:rPr>
              <w:t>共同发表学术论文1篇，论文4-1</w:t>
            </w:r>
            <w:r>
              <w:rPr>
                <w:rFonts w:hint="default" w:ascii="仿宋" w:hAnsi="仿宋" w:eastAsia="仿宋"/>
                <w:lang w:val="en-US" w:eastAsia="zh-CN"/>
              </w:rPr>
              <w:t>1</w:t>
            </w:r>
            <w:r>
              <w:rPr>
                <w:rFonts w:hint="default" w:ascii="仿宋" w:hAnsi="仿宋" w:eastAsia="仿宋"/>
                <w:lang w:eastAsia="zh-CN"/>
              </w:rPr>
              <w:t>通讯作者署名</w:t>
            </w:r>
            <w:r>
              <w:rPr>
                <w:rFonts w:hint="eastAsia" w:ascii="仿宋" w:hAnsi="仿宋" w:eastAsia="仿宋"/>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615" w:type="dxa"/>
            <w:vMerge w:val="continue"/>
            <w:noWrap w:val="0"/>
            <w:vAlign w:val="center"/>
          </w:tcPr>
          <w:p>
            <w:pPr>
              <w:adjustRightInd w:val="0"/>
              <w:snapToGrid w:val="0"/>
              <w:jc w:val="center"/>
              <w:rPr>
                <w:rFonts w:hint="eastAsia" w:ascii="仿宋" w:hAnsi="仿宋" w:eastAsia="仿宋"/>
                <w:b/>
                <w:bCs/>
              </w:rPr>
            </w:pPr>
          </w:p>
        </w:tc>
        <w:tc>
          <w:tcPr>
            <w:tcW w:w="8072" w:type="dxa"/>
            <w:noWrap w:val="0"/>
            <w:vAlign w:val="center"/>
          </w:tcPr>
          <w:p>
            <w:pPr>
              <w:adjustRightInd w:val="0"/>
              <w:snapToGrid w:val="0"/>
              <w:rPr>
                <w:rFonts w:hint="eastAsia" w:ascii="仿宋" w:hAnsi="仿宋" w:eastAsia="仿宋"/>
                <w:lang w:eastAsia="zh-CN"/>
              </w:rPr>
            </w:pPr>
            <w:r>
              <w:rPr>
                <w:rFonts w:hint="default" w:ascii="仿宋" w:hAnsi="仿宋" w:eastAsia="仿宋"/>
                <w:lang w:eastAsia="zh-CN"/>
              </w:rPr>
              <w:t>潘莹</w:t>
            </w:r>
            <w:r>
              <w:rPr>
                <w:rFonts w:hint="eastAsia" w:ascii="仿宋" w:hAnsi="仿宋" w:eastAsia="仿宋"/>
                <w:lang w:eastAsia="zh-CN"/>
              </w:rPr>
              <w:t>（</w:t>
            </w:r>
            <w:r>
              <w:rPr>
                <w:rFonts w:hint="default" w:ascii="仿宋" w:hAnsi="仿宋" w:eastAsia="仿宋"/>
                <w:lang w:eastAsia="zh-CN"/>
              </w:rPr>
              <w:t>第十一完成人，中山大学肿瘤防治中心药理学博士，</w:t>
            </w:r>
            <w:r>
              <w:rPr>
                <w:rFonts w:hint="eastAsia" w:ascii="仿宋" w:hAnsi="仿宋" w:eastAsia="仿宋"/>
                <w:lang w:eastAsia="zh-CN"/>
              </w:rPr>
              <w:t>广东省药理学会</w:t>
            </w:r>
            <w:r>
              <w:rPr>
                <w:rFonts w:hint="eastAsia" w:ascii="仿宋" w:hAnsi="仿宋" w:eastAsia="仿宋"/>
                <w:lang w:val="en-US" w:eastAsia="zh-CN"/>
              </w:rPr>
              <w:t>TDM委员会委员</w:t>
            </w:r>
            <w:r>
              <w:rPr>
                <w:rFonts w:hint="default" w:ascii="仿宋" w:hAnsi="仿宋" w:eastAsia="仿宋"/>
                <w:lang w:eastAsia="zh-CN"/>
              </w:rPr>
              <w:t>，承担药物应用合理性评估、抗肿瘤药物治疗管理、患者随访登记等工作，共同发表学术论文</w:t>
            </w:r>
            <w:r>
              <w:rPr>
                <w:rFonts w:hint="default" w:ascii="仿宋" w:hAnsi="仿宋" w:eastAsia="仿宋"/>
                <w:lang w:val="en-US" w:eastAsia="zh-CN"/>
              </w:rPr>
              <w:t>3</w:t>
            </w:r>
            <w:r>
              <w:rPr>
                <w:rFonts w:hint="default" w:ascii="仿宋" w:hAnsi="仿宋" w:eastAsia="仿宋"/>
                <w:lang w:eastAsia="zh-CN"/>
              </w:rPr>
              <w:t>篇，论文</w:t>
            </w:r>
            <w:r>
              <w:rPr>
                <w:rFonts w:hint="default" w:ascii="仿宋" w:hAnsi="仿宋" w:eastAsia="仿宋"/>
                <w:lang w:val="en-US" w:eastAsia="zh-CN"/>
              </w:rPr>
              <w:t>4-4第六作者，论文4-5通讯作者，</w:t>
            </w:r>
            <w:r>
              <w:rPr>
                <w:rFonts w:hint="default" w:ascii="仿宋" w:hAnsi="仿宋" w:eastAsia="仿宋"/>
                <w:lang w:eastAsia="zh-CN"/>
              </w:rPr>
              <w:t>论文</w:t>
            </w:r>
            <w:r>
              <w:rPr>
                <w:rFonts w:hint="default" w:ascii="仿宋" w:hAnsi="仿宋" w:eastAsia="仿宋"/>
                <w:lang w:val="en-US" w:eastAsia="zh-CN"/>
              </w:rPr>
              <w:t>4-12第一作者</w:t>
            </w:r>
            <w:r>
              <w:rPr>
                <w:rFonts w:hint="eastAsia" w:ascii="仿宋" w:hAnsi="仿宋" w:eastAsia="仿宋"/>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615" w:type="dxa"/>
            <w:vMerge w:val="continue"/>
            <w:noWrap w:val="0"/>
            <w:vAlign w:val="center"/>
          </w:tcPr>
          <w:p>
            <w:pPr>
              <w:adjustRightInd w:val="0"/>
              <w:snapToGrid w:val="0"/>
              <w:jc w:val="center"/>
              <w:rPr>
                <w:rFonts w:hint="eastAsia" w:ascii="仿宋" w:hAnsi="仿宋" w:eastAsia="仿宋"/>
                <w:b/>
                <w:bCs/>
              </w:rPr>
            </w:pPr>
          </w:p>
        </w:tc>
        <w:tc>
          <w:tcPr>
            <w:tcW w:w="8072" w:type="dxa"/>
            <w:noWrap w:val="0"/>
            <w:vAlign w:val="center"/>
          </w:tcPr>
          <w:p>
            <w:pPr>
              <w:adjustRightInd w:val="0"/>
              <w:snapToGrid w:val="0"/>
              <w:rPr>
                <w:rFonts w:hint="eastAsia" w:ascii="仿宋" w:hAnsi="仿宋" w:eastAsia="仿宋"/>
                <w:lang w:eastAsia="zh-CN"/>
              </w:rPr>
            </w:pPr>
            <w:r>
              <w:rPr>
                <w:rFonts w:hint="default" w:ascii="仿宋" w:hAnsi="仿宋" w:eastAsia="仿宋"/>
                <w:lang w:eastAsia="zh-CN"/>
              </w:rPr>
              <w:t>张盛奇</w:t>
            </w:r>
            <w:r>
              <w:rPr>
                <w:rFonts w:hint="eastAsia" w:ascii="仿宋" w:hAnsi="仿宋" w:eastAsia="仿宋"/>
                <w:lang w:eastAsia="zh-CN"/>
              </w:rPr>
              <w:t>（</w:t>
            </w:r>
            <w:r>
              <w:rPr>
                <w:rFonts w:hint="default" w:ascii="仿宋" w:hAnsi="仿宋" w:eastAsia="仿宋"/>
                <w:lang w:eastAsia="zh-CN"/>
              </w:rPr>
              <w:t>第十二完成人，汕头大学附属肿瘤医院肿瘤内科副主任，</w:t>
            </w:r>
            <w:r>
              <w:rPr>
                <w:rFonts w:hint="eastAsia" w:ascii="仿宋" w:hAnsi="仿宋" w:eastAsia="仿宋"/>
                <w:lang w:eastAsia="zh-CN"/>
              </w:rPr>
              <w:t>广东省药理学会</w:t>
            </w:r>
            <w:r>
              <w:rPr>
                <w:rFonts w:hint="eastAsia" w:ascii="仿宋" w:hAnsi="仿宋" w:eastAsia="仿宋"/>
                <w:lang w:val="en-US" w:eastAsia="zh-CN"/>
              </w:rPr>
              <w:t>TDM委员会委员，</w:t>
            </w:r>
            <w:r>
              <w:rPr>
                <w:rFonts w:hint="default" w:ascii="仿宋" w:hAnsi="仿宋" w:eastAsia="仿宋"/>
                <w:lang w:eastAsia="zh-CN"/>
              </w:rPr>
              <w:t>承担资料检索、实验操作、患者观察等工作；共同发表学术论文</w:t>
            </w:r>
            <w:r>
              <w:rPr>
                <w:rFonts w:hint="default" w:ascii="仿宋" w:hAnsi="仿宋" w:eastAsia="仿宋"/>
                <w:lang w:val="en-US" w:eastAsia="zh-CN"/>
              </w:rPr>
              <w:t>3</w:t>
            </w:r>
            <w:r>
              <w:rPr>
                <w:rFonts w:hint="default" w:ascii="仿宋" w:hAnsi="仿宋" w:eastAsia="仿宋"/>
                <w:lang w:eastAsia="zh-CN"/>
              </w:rPr>
              <w:t>篇，论文</w:t>
            </w:r>
            <w:r>
              <w:rPr>
                <w:rFonts w:hint="default" w:ascii="仿宋" w:hAnsi="仿宋" w:eastAsia="仿宋"/>
                <w:lang w:val="en-US" w:eastAsia="zh-CN"/>
              </w:rPr>
              <w:t>4-1</w:t>
            </w:r>
            <w:r>
              <w:rPr>
                <w:rFonts w:hint="default" w:ascii="仿宋" w:hAnsi="仿宋" w:eastAsia="仿宋"/>
                <w:lang w:eastAsia="zh-CN"/>
              </w:rPr>
              <w:t>第七作者，论文</w:t>
            </w:r>
            <w:r>
              <w:rPr>
                <w:rFonts w:hint="default" w:ascii="仿宋" w:hAnsi="仿宋" w:eastAsia="仿宋"/>
                <w:lang w:val="en-US" w:eastAsia="zh-CN"/>
              </w:rPr>
              <w:t>4-2</w:t>
            </w:r>
            <w:r>
              <w:rPr>
                <w:rFonts w:hint="eastAsia" w:ascii="仿宋" w:hAnsi="仿宋" w:eastAsia="仿宋"/>
                <w:lang w:val="en-US" w:eastAsia="zh-CN"/>
              </w:rPr>
              <w:t>并列</w:t>
            </w:r>
            <w:r>
              <w:rPr>
                <w:rFonts w:hint="default" w:ascii="仿宋" w:hAnsi="仿宋" w:eastAsia="仿宋"/>
                <w:lang w:eastAsia="zh-CN"/>
              </w:rPr>
              <w:t>第一作者，论文</w:t>
            </w:r>
            <w:r>
              <w:rPr>
                <w:rFonts w:hint="default" w:ascii="仿宋" w:hAnsi="仿宋" w:eastAsia="仿宋"/>
                <w:lang w:val="en-US" w:eastAsia="zh-CN"/>
              </w:rPr>
              <w:t>4-3</w:t>
            </w:r>
            <w:r>
              <w:rPr>
                <w:rFonts w:hint="default" w:ascii="仿宋" w:hAnsi="仿宋" w:eastAsia="仿宋"/>
                <w:lang w:eastAsia="zh-CN"/>
              </w:rPr>
              <w:t>通讯作者</w:t>
            </w:r>
            <w:r>
              <w:rPr>
                <w:rFonts w:hint="eastAsia" w:ascii="仿宋" w:hAnsi="仿宋" w:eastAsia="仿宋"/>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noWrap w:val="0"/>
            <w:vAlign w:val="center"/>
          </w:tcPr>
          <w:p>
            <w:pPr>
              <w:adjustRightInd w:val="0"/>
              <w:snapToGrid w:val="0"/>
              <w:jc w:val="center"/>
              <w:rPr>
                <w:rFonts w:hint="eastAsia" w:ascii="仿宋" w:hAnsi="仿宋" w:eastAsia="仿宋"/>
                <w:b/>
                <w:bCs/>
              </w:rPr>
            </w:pPr>
            <w:r>
              <w:rPr>
                <w:rFonts w:hint="eastAsia" w:ascii="仿宋" w:hAnsi="仿宋" w:eastAsia="仿宋"/>
                <w:b/>
                <w:bCs/>
              </w:rPr>
              <w:t>完成单位情况</w:t>
            </w:r>
            <w:r>
              <w:rPr>
                <w:rFonts w:hint="eastAsia" w:ascii="仿宋" w:hAnsi="仿宋" w:eastAsia="仿宋"/>
              </w:rPr>
              <w:t>（单位名称、排名，对本项目的贡献）</w:t>
            </w:r>
          </w:p>
        </w:tc>
        <w:tc>
          <w:tcPr>
            <w:tcW w:w="8072" w:type="dxa"/>
            <w:noWrap w:val="0"/>
            <w:vAlign w:val="center"/>
          </w:tcPr>
          <w:p>
            <w:pPr>
              <w:adjustRightInd w:val="0"/>
              <w:snapToGrid w:val="0"/>
              <w:rPr>
                <w:rFonts w:hint="eastAsia" w:ascii="仿宋" w:hAnsi="仿宋" w:eastAsia="仿宋"/>
              </w:rPr>
            </w:pPr>
            <w:r>
              <w:rPr>
                <w:rFonts w:hint="eastAsia" w:ascii="仿宋" w:hAnsi="仿宋" w:eastAsia="仿宋"/>
                <w:lang w:eastAsia="zh-CN"/>
              </w:rPr>
              <w:t>暨南大学附属广州红十字会医院、广东省人民医院、长沙市第三医院、汕头大学医学院附属肿瘤医院、中山大学肿瘤防治中心、汕头大学医学院第一附属医院、南方医科大学第三附属医院</w:t>
            </w:r>
          </w:p>
        </w:tc>
      </w:tr>
    </w:tbl>
    <w:p>
      <w:pPr>
        <w:jc w:val="center"/>
        <w:rPr>
          <w:rFonts w:hint="eastAsia"/>
        </w:rPr>
      </w:pPr>
    </w:p>
    <w:sectPr>
      <w:footerReference r:id="rId3" w:type="default"/>
      <w:pgSz w:w="11906" w:h="16838"/>
      <w:pgMar w:top="1985" w:right="1134" w:bottom="1440" w:left="1701"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Pr>
    </w:pPr>
    <w:r>
      <w:fldChar w:fldCharType="begin"/>
    </w:r>
    <w:r>
      <w:rPr>
        <w:rStyle w:val="13"/>
      </w:rPr>
      <w:instrText xml:space="preserve">PAGE  </w:instrText>
    </w:r>
    <w:r>
      <w:fldChar w:fldCharType="separate"/>
    </w:r>
    <w:r>
      <w:rPr>
        <w:rStyle w:val="13"/>
      </w:rPr>
      <w:t>4</w:t>
    </w:r>
    <w:r>
      <w:fldChar w:fldCharType="end"/>
    </w:r>
  </w:p>
  <w:p>
    <w:pPr>
      <w:pStyle w:val="6"/>
      <w:jc w:val="center"/>
      <w:rPr>
        <w:rFonts w:hint="eastAsia"/>
      </w:rPr>
    </w:pPr>
    <w:r>
      <w:rPr>
        <w:rFonts w:hint="eastAsia"/>
        <w:szCs w:val="21"/>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CB9"/>
    <w:rsid w:val="00007EC5"/>
    <w:rsid w:val="000132E9"/>
    <w:rsid w:val="00013416"/>
    <w:rsid w:val="00021449"/>
    <w:rsid w:val="000233A9"/>
    <w:rsid w:val="000233E4"/>
    <w:rsid w:val="00023F8A"/>
    <w:rsid w:val="00033EE7"/>
    <w:rsid w:val="00056AFD"/>
    <w:rsid w:val="0006460F"/>
    <w:rsid w:val="00067548"/>
    <w:rsid w:val="000718BD"/>
    <w:rsid w:val="0007363D"/>
    <w:rsid w:val="000778DC"/>
    <w:rsid w:val="000800A9"/>
    <w:rsid w:val="000844F7"/>
    <w:rsid w:val="000971ED"/>
    <w:rsid w:val="000A2ECA"/>
    <w:rsid w:val="000A5130"/>
    <w:rsid w:val="000A5219"/>
    <w:rsid w:val="000B1213"/>
    <w:rsid w:val="000B51A7"/>
    <w:rsid w:val="000C37B5"/>
    <w:rsid w:val="000C3807"/>
    <w:rsid w:val="000C46E7"/>
    <w:rsid w:val="000D3FEF"/>
    <w:rsid w:val="000E0EC5"/>
    <w:rsid w:val="000E1531"/>
    <w:rsid w:val="000E1CA6"/>
    <w:rsid w:val="000E5477"/>
    <w:rsid w:val="000E5715"/>
    <w:rsid w:val="000E7051"/>
    <w:rsid w:val="000E7A8E"/>
    <w:rsid w:val="00107A41"/>
    <w:rsid w:val="001170AA"/>
    <w:rsid w:val="00131673"/>
    <w:rsid w:val="00132CFC"/>
    <w:rsid w:val="00134E6B"/>
    <w:rsid w:val="00135231"/>
    <w:rsid w:val="001446FB"/>
    <w:rsid w:val="00157DEF"/>
    <w:rsid w:val="00163640"/>
    <w:rsid w:val="001656B8"/>
    <w:rsid w:val="00183A79"/>
    <w:rsid w:val="001854B5"/>
    <w:rsid w:val="00185B21"/>
    <w:rsid w:val="00190B62"/>
    <w:rsid w:val="00191B81"/>
    <w:rsid w:val="00193B8B"/>
    <w:rsid w:val="001A18A8"/>
    <w:rsid w:val="001A3837"/>
    <w:rsid w:val="001A7255"/>
    <w:rsid w:val="001A7945"/>
    <w:rsid w:val="001B07BB"/>
    <w:rsid w:val="001B55BF"/>
    <w:rsid w:val="001B6C1E"/>
    <w:rsid w:val="001C021A"/>
    <w:rsid w:val="001C51B3"/>
    <w:rsid w:val="001D4F7A"/>
    <w:rsid w:val="001F1AFB"/>
    <w:rsid w:val="00202267"/>
    <w:rsid w:val="0021040D"/>
    <w:rsid w:val="002179B5"/>
    <w:rsid w:val="00241BEC"/>
    <w:rsid w:val="00243D0B"/>
    <w:rsid w:val="00264936"/>
    <w:rsid w:val="00265489"/>
    <w:rsid w:val="0027507B"/>
    <w:rsid w:val="00277F6B"/>
    <w:rsid w:val="0028079C"/>
    <w:rsid w:val="00286A00"/>
    <w:rsid w:val="00287162"/>
    <w:rsid w:val="00290CCD"/>
    <w:rsid w:val="00296091"/>
    <w:rsid w:val="00296205"/>
    <w:rsid w:val="002A407E"/>
    <w:rsid w:val="002A5B24"/>
    <w:rsid w:val="002A677F"/>
    <w:rsid w:val="002A6E5B"/>
    <w:rsid w:val="002D277B"/>
    <w:rsid w:val="002E001B"/>
    <w:rsid w:val="002F0D10"/>
    <w:rsid w:val="002F3519"/>
    <w:rsid w:val="00300464"/>
    <w:rsid w:val="00304C8B"/>
    <w:rsid w:val="00323B31"/>
    <w:rsid w:val="00325668"/>
    <w:rsid w:val="00331168"/>
    <w:rsid w:val="003350E9"/>
    <w:rsid w:val="00335FD3"/>
    <w:rsid w:val="00341F52"/>
    <w:rsid w:val="003438CE"/>
    <w:rsid w:val="00344864"/>
    <w:rsid w:val="0035553C"/>
    <w:rsid w:val="00376893"/>
    <w:rsid w:val="00380CB2"/>
    <w:rsid w:val="0038160C"/>
    <w:rsid w:val="003851CA"/>
    <w:rsid w:val="00385D95"/>
    <w:rsid w:val="003912B5"/>
    <w:rsid w:val="003915EF"/>
    <w:rsid w:val="00392ED9"/>
    <w:rsid w:val="003A144D"/>
    <w:rsid w:val="003A6772"/>
    <w:rsid w:val="003B116E"/>
    <w:rsid w:val="003B229C"/>
    <w:rsid w:val="003B49CB"/>
    <w:rsid w:val="003B5B63"/>
    <w:rsid w:val="003B5FAE"/>
    <w:rsid w:val="003C26AE"/>
    <w:rsid w:val="003D27FE"/>
    <w:rsid w:val="003D28A1"/>
    <w:rsid w:val="003E39ED"/>
    <w:rsid w:val="003E3BF0"/>
    <w:rsid w:val="003E4B82"/>
    <w:rsid w:val="003F382F"/>
    <w:rsid w:val="003F7EB1"/>
    <w:rsid w:val="00413768"/>
    <w:rsid w:val="00443C03"/>
    <w:rsid w:val="00445671"/>
    <w:rsid w:val="004617B6"/>
    <w:rsid w:val="004620EE"/>
    <w:rsid w:val="00466AA7"/>
    <w:rsid w:val="004734F2"/>
    <w:rsid w:val="00487A81"/>
    <w:rsid w:val="004902B7"/>
    <w:rsid w:val="0049286E"/>
    <w:rsid w:val="00496668"/>
    <w:rsid w:val="00497B82"/>
    <w:rsid w:val="004B074A"/>
    <w:rsid w:val="004C32F6"/>
    <w:rsid w:val="004C371F"/>
    <w:rsid w:val="004C3D96"/>
    <w:rsid w:val="004C3EE6"/>
    <w:rsid w:val="004D3D30"/>
    <w:rsid w:val="004D548A"/>
    <w:rsid w:val="004D6EE6"/>
    <w:rsid w:val="004E636A"/>
    <w:rsid w:val="004F7CB8"/>
    <w:rsid w:val="00506354"/>
    <w:rsid w:val="00513524"/>
    <w:rsid w:val="0051550F"/>
    <w:rsid w:val="00526234"/>
    <w:rsid w:val="005272EB"/>
    <w:rsid w:val="005413EC"/>
    <w:rsid w:val="00542708"/>
    <w:rsid w:val="005448E7"/>
    <w:rsid w:val="0055398A"/>
    <w:rsid w:val="00556120"/>
    <w:rsid w:val="00561A79"/>
    <w:rsid w:val="0057056D"/>
    <w:rsid w:val="00571D67"/>
    <w:rsid w:val="00574EA6"/>
    <w:rsid w:val="00581978"/>
    <w:rsid w:val="00586458"/>
    <w:rsid w:val="0058668F"/>
    <w:rsid w:val="00594662"/>
    <w:rsid w:val="005951AB"/>
    <w:rsid w:val="0059528E"/>
    <w:rsid w:val="00597D1C"/>
    <w:rsid w:val="005A0781"/>
    <w:rsid w:val="005A0B9E"/>
    <w:rsid w:val="005A10FD"/>
    <w:rsid w:val="005A6B07"/>
    <w:rsid w:val="005B09F2"/>
    <w:rsid w:val="005B523F"/>
    <w:rsid w:val="005B6E58"/>
    <w:rsid w:val="005D446C"/>
    <w:rsid w:val="005D4A33"/>
    <w:rsid w:val="005F0666"/>
    <w:rsid w:val="005F2698"/>
    <w:rsid w:val="005F468C"/>
    <w:rsid w:val="005F7DB9"/>
    <w:rsid w:val="0060774E"/>
    <w:rsid w:val="00615913"/>
    <w:rsid w:val="00623DD2"/>
    <w:rsid w:val="00624FE2"/>
    <w:rsid w:val="0062634B"/>
    <w:rsid w:val="00626953"/>
    <w:rsid w:val="00643591"/>
    <w:rsid w:val="00644F7C"/>
    <w:rsid w:val="00654751"/>
    <w:rsid w:val="00656ADA"/>
    <w:rsid w:val="00657ED0"/>
    <w:rsid w:val="0066541C"/>
    <w:rsid w:val="00665B9B"/>
    <w:rsid w:val="00675646"/>
    <w:rsid w:val="00675CCD"/>
    <w:rsid w:val="0068093E"/>
    <w:rsid w:val="006823C7"/>
    <w:rsid w:val="00682E8B"/>
    <w:rsid w:val="0068598E"/>
    <w:rsid w:val="00690DE0"/>
    <w:rsid w:val="006913C7"/>
    <w:rsid w:val="00695C4D"/>
    <w:rsid w:val="006A316C"/>
    <w:rsid w:val="006A50C5"/>
    <w:rsid w:val="006A5A2B"/>
    <w:rsid w:val="006B0687"/>
    <w:rsid w:val="006B2162"/>
    <w:rsid w:val="006B7829"/>
    <w:rsid w:val="006C1C5D"/>
    <w:rsid w:val="006C2E19"/>
    <w:rsid w:val="006C6A76"/>
    <w:rsid w:val="006E06AE"/>
    <w:rsid w:val="006E0C9F"/>
    <w:rsid w:val="006F10D8"/>
    <w:rsid w:val="007048DB"/>
    <w:rsid w:val="00711525"/>
    <w:rsid w:val="00712C0B"/>
    <w:rsid w:val="00723A1C"/>
    <w:rsid w:val="007378B0"/>
    <w:rsid w:val="00747A83"/>
    <w:rsid w:val="00754326"/>
    <w:rsid w:val="00761585"/>
    <w:rsid w:val="00761ED1"/>
    <w:rsid w:val="00770A4A"/>
    <w:rsid w:val="00772A70"/>
    <w:rsid w:val="00780F26"/>
    <w:rsid w:val="0078394D"/>
    <w:rsid w:val="00793617"/>
    <w:rsid w:val="007940EA"/>
    <w:rsid w:val="00794B8C"/>
    <w:rsid w:val="00795EED"/>
    <w:rsid w:val="007A3F3A"/>
    <w:rsid w:val="007A64EC"/>
    <w:rsid w:val="007B2963"/>
    <w:rsid w:val="007C0868"/>
    <w:rsid w:val="007C310D"/>
    <w:rsid w:val="007C42C3"/>
    <w:rsid w:val="007C6B0B"/>
    <w:rsid w:val="007D56CD"/>
    <w:rsid w:val="007D7338"/>
    <w:rsid w:val="007E1FBD"/>
    <w:rsid w:val="007F096F"/>
    <w:rsid w:val="007F5D33"/>
    <w:rsid w:val="00800E6D"/>
    <w:rsid w:val="00807612"/>
    <w:rsid w:val="00812BC0"/>
    <w:rsid w:val="00820D13"/>
    <w:rsid w:val="00821BC7"/>
    <w:rsid w:val="008317E3"/>
    <w:rsid w:val="00832E94"/>
    <w:rsid w:val="00835F5E"/>
    <w:rsid w:val="00840354"/>
    <w:rsid w:val="00842FCA"/>
    <w:rsid w:val="00852AF8"/>
    <w:rsid w:val="00856DCF"/>
    <w:rsid w:val="00860542"/>
    <w:rsid w:val="00860CE7"/>
    <w:rsid w:val="0086220A"/>
    <w:rsid w:val="00873470"/>
    <w:rsid w:val="00881795"/>
    <w:rsid w:val="008824B2"/>
    <w:rsid w:val="00884A32"/>
    <w:rsid w:val="0089630F"/>
    <w:rsid w:val="008A1624"/>
    <w:rsid w:val="008A1F9F"/>
    <w:rsid w:val="008A2A4A"/>
    <w:rsid w:val="008A344A"/>
    <w:rsid w:val="008C1622"/>
    <w:rsid w:val="008C7217"/>
    <w:rsid w:val="008E0AA4"/>
    <w:rsid w:val="008E2992"/>
    <w:rsid w:val="008E39DD"/>
    <w:rsid w:val="008E64DB"/>
    <w:rsid w:val="008F3B22"/>
    <w:rsid w:val="008F4F29"/>
    <w:rsid w:val="009026F9"/>
    <w:rsid w:val="00902F56"/>
    <w:rsid w:val="00904864"/>
    <w:rsid w:val="00910059"/>
    <w:rsid w:val="00912EB3"/>
    <w:rsid w:val="00921FAD"/>
    <w:rsid w:val="009257AC"/>
    <w:rsid w:val="00930C98"/>
    <w:rsid w:val="0093399D"/>
    <w:rsid w:val="00936FC5"/>
    <w:rsid w:val="00954D7C"/>
    <w:rsid w:val="009717FC"/>
    <w:rsid w:val="00973223"/>
    <w:rsid w:val="009737E2"/>
    <w:rsid w:val="0098586A"/>
    <w:rsid w:val="009859FE"/>
    <w:rsid w:val="00986409"/>
    <w:rsid w:val="00992D57"/>
    <w:rsid w:val="009A04C7"/>
    <w:rsid w:val="009A1463"/>
    <w:rsid w:val="009B6146"/>
    <w:rsid w:val="009C58AC"/>
    <w:rsid w:val="009D3309"/>
    <w:rsid w:val="009E1848"/>
    <w:rsid w:val="009F0052"/>
    <w:rsid w:val="009F542E"/>
    <w:rsid w:val="00A255BB"/>
    <w:rsid w:val="00A31229"/>
    <w:rsid w:val="00A40855"/>
    <w:rsid w:val="00A428D1"/>
    <w:rsid w:val="00A46529"/>
    <w:rsid w:val="00A5220B"/>
    <w:rsid w:val="00A54D20"/>
    <w:rsid w:val="00A57490"/>
    <w:rsid w:val="00A63B2B"/>
    <w:rsid w:val="00A6664D"/>
    <w:rsid w:val="00A701C9"/>
    <w:rsid w:val="00A710BB"/>
    <w:rsid w:val="00A717A7"/>
    <w:rsid w:val="00A73CCF"/>
    <w:rsid w:val="00A7656C"/>
    <w:rsid w:val="00A775CD"/>
    <w:rsid w:val="00A77B71"/>
    <w:rsid w:val="00A82523"/>
    <w:rsid w:val="00A86992"/>
    <w:rsid w:val="00A908B3"/>
    <w:rsid w:val="00A91E0B"/>
    <w:rsid w:val="00A951A6"/>
    <w:rsid w:val="00AB34F1"/>
    <w:rsid w:val="00AB4AEB"/>
    <w:rsid w:val="00AB4FCA"/>
    <w:rsid w:val="00AB626A"/>
    <w:rsid w:val="00AB7299"/>
    <w:rsid w:val="00AB755C"/>
    <w:rsid w:val="00AD64F9"/>
    <w:rsid w:val="00AE5299"/>
    <w:rsid w:val="00AF161B"/>
    <w:rsid w:val="00B13820"/>
    <w:rsid w:val="00B1499F"/>
    <w:rsid w:val="00B2280B"/>
    <w:rsid w:val="00B305CA"/>
    <w:rsid w:val="00B336BB"/>
    <w:rsid w:val="00B34E84"/>
    <w:rsid w:val="00B355F7"/>
    <w:rsid w:val="00B43A87"/>
    <w:rsid w:val="00B462B1"/>
    <w:rsid w:val="00B62BAC"/>
    <w:rsid w:val="00B64B8E"/>
    <w:rsid w:val="00B662C8"/>
    <w:rsid w:val="00B73328"/>
    <w:rsid w:val="00B7340E"/>
    <w:rsid w:val="00B83305"/>
    <w:rsid w:val="00B8419E"/>
    <w:rsid w:val="00B84503"/>
    <w:rsid w:val="00B92495"/>
    <w:rsid w:val="00BA4057"/>
    <w:rsid w:val="00BA607D"/>
    <w:rsid w:val="00BA6B10"/>
    <w:rsid w:val="00BB257A"/>
    <w:rsid w:val="00BC0FB3"/>
    <w:rsid w:val="00BD28C4"/>
    <w:rsid w:val="00BD4011"/>
    <w:rsid w:val="00BE03A9"/>
    <w:rsid w:val="00BE428D"/>
    <w:rsid w:val="00BE589E"/>
    <w:rsid w:val="00BE66DF"/>
    <w:rsid w:val="00BF1841"/>
    <w:rsid w:val="00BF1A7D"/>
    <w:rsid w:val="00BF2C4A"/>
    <w:rsid w:val="00BF558E"/>
    <w:rsid w:val="00BF7AAD"/>
    <w:rsid w:val="00C022E4"/>
    <w:rsid w:val="00C02B07"/>
    <w:rsid w:val="00C051D2"/>
    <w:rsid w:val="00C07232"/>
    <w:rsid w:val="00C10DD8"/>
    <w:rsid w:val="00C146EE"/>
    <w:rsid w:val="00C1718D"/>
    <w:rsid w:val="00C26666"/>
    <w:rsid w:val="00C53A0E"/>
    <w:rsid w:val="00C627CC"/>
    <w:rsid w:val="00C665F7"/>
    <w:rsid w:val="00C810FB"/>
    <w:rsid w:val="00C91CC0"/>
    <w:rsid w:val="00C9220F"/>
    <w:rsid w:val="00C95635"/>
    <w:rsid w:val="00CA1150"/>
    <w:rsid w:val="00CA1255"/>
    <w:rsid w:val="00CA194F"/>
    <w:rsid w:val="00CA6F6E"/>
    <w:rsid w:val="00CA75F3"/>
    <w:rsid w:val="00CB01E5"/>
    <w:rsid w:val="00CB1EC2"/>
    <w:rsid w:val="00CB4C43"/>
    <w:rsid w:val="00CB527F"/>
    <w:rsid w:val="00CC0CA7"/>
    <w:rsid w:val="00CC1364"/>
    <w:rsid w:val="00CC4FFE"/>
    <w:rsid w:val="00CD08F2"/>
    <w:rsid w:val="00CD3D4F"/>
    <w:rsid w:val="00CE03CE"/>
    <w:rsid w:val="00CE3331"/>
    <w:rsid w:val="00CE64FC"/>
    <w:rsid w:val="00CF07A0"/>
    <w:rsid w:val="00CF0865"/>
    <w:rsid w:val="00CF1899"/>
    <w:rsid w:val="00CF44AF"/>
    <w:rsid w:val="00D043E3"/>
    <w:rsid w:val="00D14AEF"/>
    <w:rsid w:val="00D223C5"/>
    <w:rsid w:val="00D30E77"/>
    <w:rsid w:val="00D357CB"/>
    <w:rsid w:val="00D36274"/>
    <w:rsid w:val="00D37454"/>
    <w:rsid w:val="00D4750B"/>
    <w:rsid w:val="00D61829"/>
    <w:rsid w:val="00D61CE9"/>
    <w:rsid w:val="00D62EB9"/>
    <w:rsid w:val="00D66671"/>
    <w:rsid w:val="00D7505E"/>
    <w:rsid w:val="00D87C63"/>
    <w:rsid w:val="00D909A4"/>
    <w:rsid w:val="00DA30E1"/>
    <w:rsid w:val="00DA4031"/>
    <w:rsid w:val="00DB7273"/>
    <w:rsid w:val="00DC1726"/>
    <w:rsid w:val="00DC7200"/>
    <w:rsid w:val="00DD52F1"/>
    <w:rsid w:val="00DD5B1B"/>
    <w:rsid w:val="00DE5A83"/>
    <w:rsid w:val="00DE721A"/>
    <w:rsid w:val="00DF4431"/>
    <w:rsid w:val="00DF6F41"/>
    <w:rsid w:val="00E02248"/>
    <w:rsid w:val="00E03B92"/>
    <w:rsid w:val="00E03E1B"/>
    <w:rsid w:val="00E117AB"/>
    <w:rsid w:val="00E1559C"/>
    <w:rsid w:val="00E24D86"/>
    <w:rsid w:val="00E36AA5"/>
    <w:rsid w:val="00E43D6C"/>
    <w:rsid w:val="00E43FD0"/>
    <w:rsid w:val="00E452DC"/>
    <w:rsid w:val="00E4590D"/>
    <w:rsid w:val="00E50163"/>
    <w:rsid w:val="00E50BA5"/>
    <w:rsid w:val="00E564C8"/>
    <w:rsid w:val="00E57CCB"/>
    <w:rsid w:val="00E65FC2"/>
    <w:rsid w:val="00E73F64"/>
    <w:rsid w:val="00E83CDE"/>
    <w:rsid w:val="00E92998"/>
    <w:rsid w:val="00E97E5B"/>
    <w:rsid w:val="00EA17B7"/>
    <w:rsid w:val="00EB5633"/>
    <w:rsid w:val="00EC5008"/>
    <w:rsid w:val="00EC62C9"/>
    <w:rsid w:val="00EC78BE"/>
    <w:rsid w:val="00ED3351"/>
    <w:rsid w:val="00EE20A3"/>
    <w:rsid w:val="00EF07B3"/>
    <w:rsid w:val="00F03295"/>
    <w:rsid w:val="00F04015"/>
    <w:rsid w:val="00F05634"/>
    <w:rsid w:val="00F14316"/>
    <w:rsid w:val="00F25F1C"/>
    <w:rsid w:val="00F27893"/>
    <w:rsid w:val="00F30BA3"/>
    <w:rsid w:val="00F3331C"/>
    <w:rsid w:val="00F50624"/>
    <w:rsid w:val="00F53F15"/>
    <w:rsid w:val="00F71096"/>
    <w:rsid w:val="00F87592"/>
    <w:rsid w:val="00F91FB5"/>
    <w:rsid w:val="00F964A3"/>
    <w:rsid w:val="00FA06EF"/>
    <w:rsid w:val="00FA13A8"/>
    <w:rsid w:val="00FA1ABB"/>
    <w:rsid w:val="00FC2318"/>
    <w:rsid w:val="00FC3571"/>
    <w:rsid w:val="00FC3E8A"/>
    <w:rsid w:val="00FD0F32"/>
    <w:rsid w:val="00FD397E"/>
    <w:rsid w:val="00FE164C"/>
    <w:rsid w:val="00FE7778"/>
    <w:rsid w:val="020405F4"/>
    <w:rsid w:val="02B12234"/>
    <w:rsid w:val="02F54B77"/>
    <w:rsid w:val="04F65B1C"/>
    <w:rsid w:val="07D92CCF"/>
    <w:rsid w:val="088D7B38"/>
    <w:rsid w:val="09CF34B2"/>
    <w:rsid w:val="0B363620"/>
    <w:rsid w:val="0B57225F"/>
    <w:rsid w:val="0BBC25BA"/>
    <w:rsid w:val="0C0B0CD2"/>
    <w:rsid w:val="0C15155F"/>
    <w:rsid w:val="0C6E51AA"/>
    <w:rsid w:val="0C9C2C52"/>
    <w:rsid w:val="0CE57497"/>
    <w:rsid w:val="0DB61B92"/>
    <w:rsid w:val="0DC935F3"/>
    <w:rsid w:val="0F400252"/>
    <w:rsid w:val="0F7F174B"/>
    <w:rsid w:val="0FAA2C22"/>
    <w:rsid w:val="0FDB612F"/>
    <w:rsid w:val="119E6024"/>
    <w:rsid w:val="11A26A91"/>
    <w:rsid w:val="11BD593F"/>
    <w:rsid w:val="133F0298"/>
    <w:rsid w:val="13D0757E"/>
    <w:rsid w:val="157D4BB6"/>
    <w:rsid w:val="1684296D"/>
    <w:rsid w:val="16CC3EC0"/>
    <w:rsid w:val="17351A60"/>
    <w:rsid w:val="18B078A9"/>
    <w:rsid w:val="1AF04334"/>
    <w:rsid w:val="1C585D8D"/>
    <w:rsid w:val="1D435194"/>
    <w:rsid w:val="1DAD3388"/>
    <w:rsid w:val="1E481205"/>
    <w:rsid w:val="1E8852C1"/>
    <w:rsid w:val="216E0E37"/>
    <w:rsid w:val="21805102"/>
    <w:rsid w:val="21CA4F98"/>
    <w:rsid w:val="2237323A"/>
    <w:rsid w:val="25B02862"/>
    <w:rsid w:val="27D369EE"/>
    <w:rsid w:val="27FF49E1"/>
    <w:rsid w:val="2A192614"/>
    <w:rsid w:val="2D2063D0"/>
    <w:rsid w:val="2EE24D9D"/>
    <w:rsid w:val="2FBB6D54"/>
    <w:rsid w:val="308445E6"/>
    <w:rsid w:val="30B133F0"/>
    <w:rsid w:val="30C33BB7"/>
    <w:rsid w:val="314C439D"/>
    <w:rsid w:val="32EC0992"/>
    <w:rsid w:val="349A551D"/>
    <w:rsid w:val="36F72980"/>
    <w:rsid w:val="36FE76B8"/>
    <w:rsid w:val="37661DC9"/>
    <w:rsid w:val="37D31400"/>
    <w:rsid w:val="38F416E9"/>
    <w:rsid w:val="396951BA"/>
    <w:rsid w:val="3EC83A2B"/>
    <w:rsid w:val="3EE25B6B"/>
    <w:rsid w:val="3F1D3DD7"/>
    <w:rsid w:val="40775F58"/>
    <w:rsid w:val="42613514"/>
    <w:rsid w:val="42701DE5"/>
    <w:rsid w:val="43C23EEB"/>
    <w:rsid w:val="44B51894"/>
    <w:rsid w:val="455917D0"/>
    <w:rsid w:val="48B7693F"/>
    <w:rsid w:val="49335F01"/>
    <w:rsid w:val="497B37AB"/>
    <w:rsid w:val="49A37A05"/>
    <w:rsid w:val="4A8D286B"/>
    <w:rsid w:val="4AD023CD"/>
    <w:rsid w:val="4B1E32A9"/>
    <w:rsid w:val="4C107DA6"/>
    <w:rsid w:val="4C991E9F"/>
    <w:rsid w:val="4CE162BD"/>
    <w:rsid w:val="4D002ECC"/>
    <w:rsid w:val="4E2D5B17"/>
    <w:rsid w:val="4E3C5018"/>
    <w:rsid w:val="4EB11977"/>
    <w:rsid w:val="4EB47B18"/>
    <w:rsid w:val="50025E07"/>
    <w:rsid w:val="509861DD"/>
    <w:rsid w:val="50C8270F"/>
    <w:rsid w:val="50E34AF4"/>
    <w:rsid w:val="50FD1B85"/>
    <w:rsid w:val="511D16C9"/>
    <w:rsid w:val="51384612"/>
    <w:rsid w:val="5170763D"/>
    <w:rsid w:val="53752634"/>
    <w:rsid w:val="55CC631A"/>
    <w:rsid w:val="57777938"/>
    <w:rsid w:val="58AE6D2A"/>
    <w:rsid w:val="5BA066DC"/>
    <w:rsid w:val="5D245685"/>
    <w:rsid w:val="5D7539D0"/>
    <w:rsid w:val="5F0718FD"/>
    <w:rsid w:val="5F0845E7"/>
    <w:rsid w:val="5F4D4FEF"/>
    <w:rsid w:val="5FD75546"/>
    <w:rsid w:val="607903A1"/>
    <w:rsid w:val="63055BE0"/>
    <w:rsid w:val="6391478F"/>
    <w:rsid w:val="64943FEF"/>
    <w:rsid w:val="668829DD"/>
    <w:rsid w:val="670515FC"/>
    <w:rsid w:val="67762A93"/>
    <w:rsid w:val="684364B5"/>
    <w:rsid w:val="6A3E0ED7"/>
    <w:rsid w:val="6AD64A1A"/>
    <w:rsid w:val="6B4E1894"/>
    <w:rsid w:val="6C396AE2"/>
    <w:rsid w:val="6C730228"/>
    <w:rsid w:val="6D486712"/>
    <w:rsid w:val="6D634655"/>
    <w:rsid w:val="6DB605C7"/>
    <w:rsid w:val="6DFD65E6"/>
    <w:rsid w:val="6F043244"/>
    <w:rsid w:val="6FAC6F0F"/>
    <w:rsid w:val="6FC95134"/>
    <w:rsid w:val="70AC36C7"/>
    <w:rsid w:val="72730981"/>
    <w:rsid w:val="73507FD9"/>
    <w:rsid w:val="735C49F4"/>
    <w:rsid w:val="76065A37"/>
    <w:rsid w:val="76AD14EE"/>
    <w:rsid w:val="771959FC"/>
    <w:rsid w:val="77982D10"/>
    <w:rsid w:val="785F2D6B"/>
    <w:rsid w:val="796E564B"/>
    <w:rsid w:val="7A185A30"/>
    <w:rsid w:val="7A86521B"/>
    <w:rsid w:val="7C7C0F2A"/>
    <w:rsid w:val="7CCE51A7"/>
    <w:rsid w:val="7D401655"/>
    <w:rsid w:val="7D63712A"/>
    <w:rsid w:val="7E8E19BE"/>
    <w:rsid w:val="7ED87070"/>
    <w:rsid w:val="7F050868"/>
    <w:rsid w:val="7FA5747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3"/>
    <w:qFormat/>
    <w:uiPriority w:val="0"/>
    <w:pPr>
      <w:keepNext/>
      <w:jc w:val="center"/>
      <w:outlineLvl w:val="0"/>
    </w:pPr>
    <w:rPr>
      <w:rFonts w:ascii="仿宋_GB2312" w:eastAsia="仿宋_GB2312"/>
      <w:kern w:val="0"/>
      <w:sz w:val="28"/>
      <w:szCs w:val="20"/>
    </w:rPr>
  </w:style>
  <w:style w:type="character" w:default="1" w:styleId="12">
    <w:name w:val="Default Paragraph Font"/>
    <w:uiPriority w:val="0"/>
  </w:style>
  <w:style w:type="table" w:default="1" w:styleId="10">
    <w:name w:val="Normal Table"/>
    <w:unhideWhenUsed/>
    <w:qFormat/>
    <w:uiPriority w:val="99"/>
    <w:tblPr>
      <w:tblCellMar>
        <w:top w:w="0" w:type="dxa"/>
        <w:left w:w="108" w:type="dxa"/>
        <w:bottom w:w="0" w:type="dxa"/>
        <w:right w:w="108" w:type="dxa"/>
      </w:tblCellMar>
    </w:tblPr>
  </w:style>
  <w:style w:type="paragraph" w:styleId="3">
    <w:name w:val="annotation text"/>
    <w:basedOn w:val="1"/>
    <w:link w:val="26"/>
    <w:unhideWhenUsed/>
    <w:qFormat/>
    <w:uiPriority w:val="99"/>
    <w:pPr>
      <w:jc w:val="left"/>
    </w:pPr>
  </w:style>
  <w:style w:type="paragraph" w:styleId="4">
    <w:name w:val="Plain Text"/>
    <w:basedOn w:val="1"/>
    <w:qFormat/>
    <w:uiPriority w:val="0"/>
    <w:pPr>
      <w:spacing w:line="360" w:lineRule="auto"/>
      <w:ind w:firstLine="480" w:firstLineChars="200"/>
    </w:pPr>
    <w:rPr>
      <w:rFonts w:ascii="仿宋_GB2312"/>
      <w:sz w:val="24"/>
    </w:rPr>
  </w:style>
  <w:style w:type="paragraph" w:styleId="5">
    <w:name w:val="Balloon Text"/>
    <w:basedOn w:val="1"/>
    <w:link w:val="21"/>
    <w:unhideWhenUsed/>
    <w:qFormat/>
    <w:uiPriority w:val="99"/>
    <w:rPr>
      <w:sz w:val="18"/>
      <w:szCs w:val="18"/>
    </w:rPr>
  </w:style>
  <w:style w:type="paragraph" w:styleId="6">
    <w:name w:val="footer"/>
    <w:basedOn w:val="1"/>
    <w:link w:val="25"/>
    <w:qFormat/>
    <w:uiPriority w:val="99"/>
    <w:pPr>
      <w:tabs>
        <w:tab w:val="center" w:pos="4153"/>
        <w:tab w:val="right" w:pos="8306"/>
      </w:tabs>
      <w:snapToGrid w:val="0"/>
      <w:jc w:val="left"/>
    </w:pPr>
    <w:rPr>
      <w:kern w:val="0"/>
      <w:sz w:val="18"/>
      <w:szCs w:val="18"/>
    </w:rPr>
  </w:style>
  <w:style w:type="paragraph" w:styleId="7">
    <w:name w:val="header"/>
    <w:basedOn w:val="1"/>
    <w:link w:val="24"/>
    <w:qFormat/>
    <w:uiPriority w:val="0"/>
    <w:pPr>
      <w:pBdr>
        <w:bottom w:val="single" w:color="auto" w:sz="6" w:space="1"/>
      </w:pBdr>
      <w:tabs>
        <w:tab w:val="center" w:pos="4153"/>
        <w:tab w:val="right" w:pos="8306"/>
      </w:tabs>
      <w:snapToGrid w:val="0"/>
      <w:jc w:val="center"/>
    </w:pPr>
    <w:rPr>
      <w:kern w:val="0"/>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9">
    <w:name w:val="annotation subject"/>
    <w:basedOn w:val="3"/>
    <w:next w:val="3"/>
    <w:link w:val="20"/>
    <w:unhideWhenUsed/>
    <w:uiPriority w:val="99"/>
    <w:rPr>
      <w:b/>
      <w:bCs/>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uiPriority w:val="0"/>
  </w:style>
  <w:style w:type="character" w:styleId="14">
    <w:name w:val="Hyperlink"/>
    <w:unhideWhenUsed/>
    <w:qFormat/>
    <w:uiPriority w:val="99"/>
    <w:rPr>
      <w:color w:val="0000FF"/>
      <w:u w:val="single"/>
    </w:rPr>
  </w:style>
  <w:style w:type="character" w:styleId="15">
    <w:name w:val="annotation reference"/>
    <w:unhideWhenUsed/>
    <w:qFormat/>
    <w:uiPriority w:val="99"/>
    <w:rPr>
      <w:sz w:val="21"/>
      <w:szCs w:val="21"/>
    </w:rPr>
  </w:style>
  <w:style w:type="paragraph" w:customStyle="1" w:styleId="16">
    <w:name w:val="List Paragraph"/>
    <w:basedOn w:val="1"/>
    <w:qFormat/>
    <w:uiPriority w:val="0"/>
    <w:pPr>
      <w:ind w:firstLine="420" w:firstLineChars="200"/>
    </w:pPr>
    <w:rPr>
      <w:rFonts w:ascii="Calibri" w:hAnsi="Calibri" w:eastAsia="宋体"/>
      <w:szCs w:val="22"/>
    </w:rPr>
  </w:style>
  <w:style w:type="paragraph" w:customStyle="1" w:styleId="17">
    <w:name w:val="Date"/>
    <w:basedOn w:val="1"/>
    <w:next w:val="1"/>
    <w:link w:val="22"/>
    <w:qFormat/>
    <w:uiPriority w:val="0"/>
    <w:pPr>
      <w:ind w:left="100" w:leftChars="2500"/>
    </w:pPr>
  </w:style>
  <w:style w:type="paragraph" w:customStyle="1" w:styleId="18">
    <w:name w:val="Char"/>
    <w:basedOn w:val="1"/>
    <w:qFormat/>
    <w:uiPriority w:val="0"/>
    <w:pPr>
      <w:tabs>
        <w:tab w:val="left" w:pos="425"/>
      </w:tabs>
      <w:ind w:left="425" w:hanging="425"/>
    </w:pPr>
  </w:style>
  <w:style w:type="character" w:customStyle="1" w:styleId="19">
    <w:name w:val="font11"/>
    <w:qFormat/>
    <w:uiPriority w:val="0"/>
    <w:rPr>
      <w:rFonts w:hint="eastAsia" w:ascii="宋体" w:hAnsi="宋体" w:eastAsia="宋体" w:cs="宋体"/>
      <w:b/>
      <w:color w:val="000000"/>
      <w:sz w:val="32"/>
      <w:szCs w:val="32"/>
      <w:u w:val="none"/>
    </w:rPr>
  </w:style>
  <w:style w:type="character" w:customStyle="1" w:styleId="20">
    <w:name w:val="批注主题 Char"/>
    <w:link w:val="9"/>
    <w:semiHidden/>
    <w:qFormat/>
    <w:uiPriority w:val="99"/>
    <w:rPr>
      <w:b/>
      <w:bCs/>
      <w:kern w:val="2"/>
      <w:sz w:val="21"/>
      <w:szCs w:val="24"/>
    </w:rPr>
  </w:style>
  <w:style w:type="character" w:customStyle="1" w:styleId="21">
    <w:name w:val="批注框文本 Char"/>
    <w:link w:val="5"/>
    <w:semiHidden/>
    <w:qFormat/>
    <w:uiPriority w:val="99"/>
    <w:rPr>
      <w:kern w:val="2"/>
      <w:sz w:val="18"/>
      <w:szCs w:val="18"/>
    </w:rPr>
  </w:style>
  <w:style w:type="character" w:customStyle="1" w:styleId="22">
    <w:name w:val="日期 Char"/>
    <w:basedOn w:val="12"/>
    <w:link w:val="17"/>
    <w:qFormat/>
    <w:uiPriority w:val="0"/>
  </w:style>
  <w:style w:type="character" w:customStyle="1" w:styleId="23">
    <w:name w:val="标题 1 Char"/>
    <w:link w:val="2"/>
    <w:qFormat/>
    <w:uiPriority w:val="0"/>
    <w:rPr>
      <w:rFonts w:ascii="仿宋_GB2312" w:hAnsi="Times New Roman" w:eastAsia="仿宋_GB2312" w:cs="Times New Roman"/>
      <w:sz w:val="28"/>
      <w:szCs w:val="20"/>
    </w:rPr>
  </w:style>
  <w:style w:type="character" w:customStyle="1" w:styleId="24">
    <w:name w:val="页眉 Char"/>
    <w:link w:val="7"/>
    <w:qFormat/>
    <w:uiPriority w:val="0"/>
    <w:rPr>
      <w:sz w:val="18"/>
      <w:szCs w:val="18"/>
    </w:rPr>
  </w:style>
  <w:style w:type="character" w:customStyle="1" w:styleId="25">
    <w:name w:val="页脚 Char"/>
    <w:link w:val="6"/>
    <w:qFormat/>
    <w:uiPriority w:val="99"/>
    <w:rPr>
      <w:sz w:val="18"/>
      <w:szCs w:val="18"/>
    </w:rPr>
  </w:style>
  <w:style w:type="character" w:customStyle="1" w:styleId="26">
    <w:name w:val="批注文字 Char"/>
    <w:link w:val="3"/>
    <w:semiHidden/>
    <w:qFormat/>
    <w:uiPriority w:val="99"/>
    <w:rPr>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792</Words>
  <Characters>4517</Characters>
  <Lines>37</Lines>
  <Paragraphs>10</Paragraphs>
  <TotalTime>0</TotalTime>
  <ScaleCrop>false</ScaleCrop>
  <LinksUpToDate>false</LinksUpToDate>
  <CharactersWithSpaces>5299</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2020-04-29T03:09:00Z</dcterms:created>
  <dc:creator>藏羚羊^^</dc:creator>
  <cp:lastModifiedBy>看穿了世界</cp:lastModifiedBy>
  <cp:lastPrinted>2018-09-06T03:37:00Z</cp:lastPrinted>
  <dcterms:modified xsi:type="dcterms:W3CDTF">2020-06-19T04:18:11Z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