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kern w:val="10"/>
          <w:sz w:val="36"/>
          <w:szCs w:val="36"/>
        </w:rPr>
        <w:t>用户需求书</w:t>
      </w:r>
    </w:p>
    <w:p>
      <w:pPr>
        <w:pStyle w:val="3"/>
        <w:numPr>
          <w:ilvl w:val="0"/>
          <w:numId w:val="1"/>
        </w:numPr>
        <w:spacing w:before="0" w:line="480" w:lineRule="exact"/>
        <w:ind w:right="840" w:rightChars="400"/>
        <w:jc w:val="left"/>
        <w:rPr>
          <w:rFonts w:hAnsi="宋体"/>
          <w:color w:val="000000"/>
          <w:sz w:val="24"/>
          <w:szCs w:val="24"/>
        </w:rPr>
      </w:pPr>
      <w:bookmarkStart w:id="0" w:name="_Toc513956007"/>
      <w:r>
        <w:rPr>
          <w:rFonts w:hint="eastAsia" w:hAnsi="宋体"/>
          <w:color w:val="000000"/>
          <w:sz w:val="24"/>
          <w:szCs w:val="24"/>
        </w:rPr>
        <w:t>货物名称、数量和交货一览表</w:t>
      </w:r>
      <w:bookmarkEnd w:id="0"/>
      <w:r>
        <w:rPr>
          <w:rFonts w:hint="eastAsia" w:hAnsi="宋体"/>
          <w:color w:val="000000"/>
          <w:sz w:val="24"/>
          <w:szCs w:val="24"/>
        </w:rPr>
        <w:t>：</w:t>
      </w:r>
    </w:p>
    <w:p/>
    <w:tbl>
      <w:tblPr>
        <w:tblStyle w:val="6"/>
        <w:tblpPr w:leftFromText="180" w:rightFromText="180" w:vertAnchor="text" w:tblpXSpec="center" w:tblpY="1"/>
        <w:tblOverlap w:val="never"/>
        <w:tblW w:w="8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95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11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11"/>
                <w:kern w:val="0"/>
                <w:sz w:val="24"/>
              </w:rPr>
              <w:t>技术参数及配置（国IV）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11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11"/>
                <w:kern w:val="0"/>
                <w:sz w:val="24"/>
              </w:rPr>
              <w:t>颜色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color w:val="000011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11"/>
                <w:kern w:val="0"/>
                <w:sz w:val="24"/>
              </w:rPr>
              <w:t>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11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11"/>
                <w:kern w:val="0"/>
                <w:sz w:val="24"/>
              </w:rPr>
              <w:t>型号/产地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Arial"/>
                <w:color w:val="000011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11"/>
                <w:kern w:val="0"/>
                <w:sz w:val="24"/>
              </w:rPr>
              <w:t>广汽传祺GM8至尊版（7座） GAC6510M2F5    产地：广州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11"/>
                <w:kern w:val="0"/>
                <w:sz w:val="24"/>
              </w:rPr>
            </w:pPr>
            <w:bookmarkStart w:id="9" w:name="_GoBack"/>
            <w:bookmarkEnd w:id="9"/>
            <w:r>
              <w:rPr>
                <w:rFonts w:hint="eastAsia" w:ascii="宋体" w:hAnsi="宋体" w:cs="Arial"/>
                <w:color w:val="000011"/>
                <w:kern w:val="0"/>
                <w:sz w:val="24"/>
              </w:rPr>
              <w:t>车种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color w:val="000011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11"/>
                <w:kern w:val="0"/>
                <w:sz w:val="24"/>
              </w:rPr>
              <w:t>7座MPV  广汽传祺GM8至尊版（7座）汽油车整车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11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11"/>
                <w:kern w:val="0"/>
                <w:sz w:val="24"/>
              </w:rPr>
              <w:t>排放标准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color w:val="000011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11"/>
                <w:kern w:val="0"/>
                <w:sz w:val="24"/>
              </w:rPr>
              <w:t>国V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车辆技术参数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型号：</w:t>
            </w:r>
            <w:r>
              <w:rPr>
                <w:rFonts w:hint="eastAsia" w:ascii="宋体" w:hAnsi="宋体" w:cs="Arial"/>
                <w:b/>
                <w:color w:val="000011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Arial"/>
                <w:color w:val="000011"/>
                <w:kern w:val="0"/>
                <w:sz w:val="24"/>
              </w:rPr>
              <w:t>传祺GM8  至尊版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座位数(外观)： 7座)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总质量(kg)： 2062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轴距</w:t>
            </w:r>
            <w:r>
              <w:rPr>
                <w:kern w:val="0"/>
                <w:sz w:val="24"/>
              </w:rPr>
              <w:t>(mm)</w:t>
            </w:r>
            <w:r>
              <w:rPr>
                <w:rFonts w:hint="eastAsia" w:ascii="宋体" w:hAnsi="宋体" w:cs="宋体"/>
                <w:kern w:val="0"/>
                <w:sz w:val="24"/>
              </w:rPr>
              <w:t>：　</w:t>
            </w: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00</w:t>
            </w:r>
            <w:r>
              <w:rPr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变速器：6速手自一体变速箱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外形尺寸</w:t>
            </w:r>
            <w:r>
              <w:rPr>
                <w:kern w:val="0"/>
                <w:sz w:val="24"/>
              </w:rPr>
              <w:t xml:space="preserve">(mm L*W*H) 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5066</w:t>
            </w:r>
            <w:r>
              <w:rPr>
                <w:kern w:val="0"/>
                <w:sz w:val="24"/>
              </w:rPr>
              <w:t>*</w:t>
            </w:r>
            <w:r>
              <w:rPr>
                <w:rFonts w:hint="eastAsia"/>
                <w:kern w:val="0"/>
                <w:sz w:val="24"/>
              </w:rPr>
              <w:t>1923</w:t>
            </w:r>
            <w:r>
              <w:rPr>
                <w:kern w:val="0"/>
                <w:sz w:val="24"/>
              </w:rPr>
              <w:t>*</w:t>
            </w:r>
            <w:r>
              <w:rPr>
                <w:rFonts w:hint="eastAsia"/>
                <w:kern w:val="0"/>
                <w:sz w:val="24"/>
              </w:rPr>
              <w:t>1822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转向：EPS电动助力转向系统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前麦弗逊独立悬挂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后多连杆独立悬挂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前通风盘式/后盘车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发动机：传祺第二代320T发动机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排放：国</w:t>
            </w:r>
            <w:r>
              <w:rPr>
                <w:rFonts w:ascii="宋体" w:hAnsi="Calibri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Cs w:val="21"/>
              </w:rPr>
              <w:t>V</w:t>
            </w:r>
            <w:r>
              <w:rPr>
                <w:rFonts w:hint="eastAsia" w:ascii="宋体" w:hAnsi="宋体" w:cs="宋体"/>
                <w:kern w:val="0"/>
                <w:sz w:val="24"/>
              </w:rPr>
              <w:t>排放标准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排量</w:t>
            </w:r>
            <w:r>
              <w:rPr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cc</w:t>
            </w:r>
            <w:r>
              <w:rPr>
                <w:kern w:val="0"/>
                <w:sz w:val="24"/>
              </w:rPr>
              <w:t xml:space="preserve">) 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1991ML/KW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最大功率kw(hp)/rpm：148/5200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最大扭矩/转速Nm/rp:320/1750-4000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车辆标准配置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电动窗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电动天窗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中央门锁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倒车雷达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前排双安全安全气囊+前排侧安全囊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博世EPS9.1车辆电子稳定控制系统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博世ABS+EBD+TCS+HBA系统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博世RMI防侧翻系统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一键启动系统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11"/>
                <w:kern w:val="0"/>
                <w:sz w:val="24"/>
              </w:rPr>
              <w:t>传祺GM8至尊版出厂标配的所有配置</w:t>
            </w:r>
          </w:p>
        </w:tc>
      </w:tr>
    </w:tbl>
    <w:p/>
    <w:p/>
    <w:p>
      <w:pPr>
        <w:pStyle w:val="3"/>
        <w:spacing w:before="0" w:line="480" w:lineRule="exact"/>
        <w:ind w:right="840" w:rightChars="400"/>
        <w:jc w:val="left"/>
        <w:rPr>
          <w:rFonts w:hAnsi="宋体"/>
          <w:color w:val="000000"/>
          <w:sz w:val="24"/>
          <w:szCs w:val="24"/>
        </w:rPr>
      </w:pPr>
      <w:bookmarkStart w:id="1" w:name="_Toc6655482"/>
      <w:r>
        <w:rPr>
          <w:rFonts w:hint="eastAsia" w:hAnsi="宋体"/>
          <w:color w:val="000000"/>
          <w:sz w:val="24"/>
          <w:szCs w:val="24"/>
        </w:rPr>
        <w:t>2.</w:t>
      </w:r>
      <w:r>
        <w:rPr>
          <w:rFonts w:hint="eastAsia" w:hAnsi="宋体"/>
          <w:color w:val="000000"/>
          <w:sz w:val="24"/>
          <w:szCs w:val="24"/>
        </w:rPr>
        <w:tab/>
      </w:r>
      <w:bookmarkEnd w:id="1"/>
      <w:r>
        <w:rPr>
          <w:rFonts w:hint="eastAsia" w:hAnsi="宋体"/>
          <w:color w:val="000000"/>
          <w:sz w:val="24"/>
          <w:szCs w:val="24"/>
        </w:rPr>
        <w:t>交货期</w:t>
      </w:r>
    </w:p>
    <w:p>
      <w:pPr>
        <w:tabs>
          <w:tab w:val="left" w:pos="735"/>
        </w:tabs>
        <w:spacing w:line="480" w:lineRule="exact"/>
        <w:ind w:right="-4" w:rightChars="-2" w:firstLine="420" w:firstLineChars="20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Arial" w:hAnsi="Arial"/>
          <w:bCs/>
          <w:color w:val="000000"/>
        </w:rPr>
        <w:t>要求报价自成交人收取定金之日起</w:t>
      </w:r>
      <w:r>
        <w:rPr>
          <w:rFonts w:hint="eastAsia" w:ascii="Arial" w:hAnsi="Arial"/>
          <w:bCs/>
          <w:color w:val="000000"/>
          <w:u w:val="single"/>
        </w:rPr>
        <w:t>30</w:t>
      </w:r>
      <w:r>
        <w:rPr>
          <w:rFonts w:hint="eastAsia" w:ascii="Arial" w:hAnsi="Arial"/>
          <w:bCs/>
          <w:color w:val="000000"/>
        </w:rPr>
        <w:t>天内全部交货完毕。如无法实现，报价人应在报价文件中说明交货期供采购方参考。</w:t>
      </w:r>
    </w:p>
    <w:p>
      <w:pPr>
        <w:snapToGrid w:val="0"/>
        <w:spacing w:line="480" w:lineRule="exact"/>
        <w:ind w:right="840" w:rightChars="400"/>
        <w:jc w:val="left"/>
        <w:rPr>
          <w:rFonts w:hAnsi="宋体"/>
          <w:color w:val="000000"/>
          <w:sz w:val="24"/>
        </w:rPr>
      </w:pPr>
      <w:bookmarkStart w:id="2" w:name="_Toc6655484"/>
    </w:p>
    <w:p>
      <w:pPr>
        <w:pStyle w:val="3"/>
        <w:spacing w:before="0" w:line="480" w:lineRule="exact"/>
        <w:ind w:right="840" w:rightChars="400"/>
        <w:jc w:val="left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3.</w:t>
      </w:r>
      <w:r>
        <w:rPr>
          <w:rFonts w:hint="eastAsia" w:hAnsi="宋体"/>
          <w:color w:val="000000"/>
          <w:sz w:val="24"/>
          <w:szCs w:val="24"/>
        </w:rPr>
        <w:tab/>
      </w:r>
      <w:bookmarkEnd w:id="2"/>
      <w:r>
        <w:rPr>
          <w:rFonts w:hint="eastAsia" w:hAnsi="宋体"/>
          <w:color w:val="000000"/>
          <w:sz w:val="24"/>
          <w:szCs w:val="24"/>
        </w:rPr>
        <w:t>交货地点：</w:t>
      </w:r>
    </w:p>
    <w:p>
      <w:pPr>
        <w:tabs>
          <w:tab w:val="left" w:pos="735"/>
        </w:tabs>
        <w:spacing w:line="480" w:lineRule="exact"/>
        <w:ind w:left="642" w:leftChars="150" w:right="840" w:rightChars="400" w:hanging="327" w:hangingChars="156"/>
        <w:jc w:val="left"/>
        <w:rPr>
          <w:rFonts w:ascii="Arial" w:hAnsi="Arial"/>
          <w:bCs/>
          <w:color w:val="000000"/>
        </w:rPr>
      </w:pPr>
      <w:r>
        <w:rPr>
          <w:rFonts w:hint="eastAsia" w:ascii="Arial" w:hAnsi="Arial"/>
          <w:bCs/>
          <w:color w:val="000000"/>
        </w:rPr>
        <w:t>交货地点为广州市指定地点。</w:t>
      </w:r>
    </w:p>
    <w:p>
      <w:pPr>
        <w:tabs>
          <w:tab w:val="left" w:pos="735"/>
        </w:tabs>
        <w:spacing w:line="480" w:lineRule="exact"/>
        <w:ind w:left="691" w:leftChars="150" w:right="840" w:rightChars="400" w:hanging="376" w:hangingChars="156"/>
        <w:jc w:val="left"/>
        <w:rPr>
          <w:rFonts w:ascii="宋体" w:hAnsi="宋体"/>
          <w:b/>
          <w:color w:val="000000"/>
          <w:sz w:val="24"/>
        </w:rPr>
      </w:pPr>
    </w:p>
    <w:p>
      <w:pPr>
        <w:pStyle w:val="3"/>
        <w:spacing w:before="0" w:line="480" w:lineRule="exact"/>
        <w:ind w:right="840" w:rightChars="400"/>
        <w:jc w:val="left"/>
        <w:rPr>
          <w:rFonts w:hAnsi="宋体"/>
          <w:color w:val="000000"/>
          <w:sz w:val="24"/>
          <w:szCs w:val="24"/>
        </w:rPr>
      </w:pPr>
      <w:bookmarkStart w:id="3" w:name="_Toc6655485"/>
      <w:r>
        <w:rPr>
          <w:rFonts w:hint="eastAsia" w:hAnsi="宋体"/>
          <w:color w:val="000000"/>
          <w:sz w:val="24"/>
          <w:szCs w:val="24"/>
        </w:rPr>
        <w:t>4.</w:t>
      </w:r>
      <w:r>
        <w:rPr>
          <w:rFonts w:hint="eastAsia" w:hAnsi="宋体"/>
          <w:color w:val="000000"/>
          <w:sz w:val="24"/>
          <w:szCs w:val="24"/>
        </w:rPr>
        <w:tab/>
      </w:r>
      <w:bookmarkEnd w:id="3"/>
      <w:r>
        <w:rPr>
          <w:rFonts w:hint="eastAsia" w:hAnsi="宋体"/>
          <w:color w:val="000000"/>
          <w:sz w:val="24"/>
          <w:szCs w:val="24"/>
        </w:rPr>
        <w:t>采购车辆要求：</w:t>
      </w:r>
    </w:p>
    <w:p>
      <w:pPr>
        <w:spacing w:line="480" w:lineRule="exact"/>
        <w:ind w:left="420" w:hanging="420" w:hangingChars="200"/>
        <w:rPr>
          <w:rFonts w:ascii="Arial" w:hAnsi="Arial"/>
          <w:color w:val="000000"/>
        </w:rPr>
      </w:pPr>
      <w:bookmarkStart w:id="4" w:name="_Toc6655486"/>
      <w:r>
        <w:rPr>
          <w:rFonts w:hint="eastAsia" w:ascii="Arial" w:hAnsi="Arial"/>
          <w:color w:val="000000"/>
        </w:rPr>
        <w:t>4.1</w:t>
      </w:r>
      <w:r>
        <w:rPr>
          <w:rFonts w:hint="eastAsia" w:ascii="Arial" w:hAnsi="Arial"/>
          <w:color w:val="000000"/>
          <w:lang w:eastAsia="zh-CN"/>
        </w:rPr>
        <w:t>成交供应商</w:t>
      </w:r>
      <w:r>
        <w:rPr>
          <w:rFonts w:hint="eastAsia" w:ascii="Arial" w:hAnsi="Arial"/>
          <w:color w:val="000000"/>
        </w:rPr>
        <w:t>需为该车辆办理上牌业务，上牌所需费用由</w:t>
      </w:r>
      <w:r>
        <w:rPr>
          <w:rFonts w:hint="eastAsia" w:ascii="Arial" w:hAnsi="Arial"/>
          <w:color w:val="000000"/>
          <w:lang w:eastAsia="zh-CN"/>
        </w:rPr>
        <w:t>成交供应商</w:t>
      </w:r>
      <w:r>
        <w:rPr>
          <w:rFonts w:hint="eastAsia" w:ascii="Arial" w:hAnsi="Arial"/>
          <w:color w:val="000000"/>
        </w:rPr>
        <w:t>提供正式发票按实际发生量由采购方另行支付（包含：车辆购置税、验车费、上牌费、交强险、车辆保险等上牌必须支付的款项）。</w:t>
      </w:r>
    </w:p>
    <w:p>
      <w:pPr>
        <w:spacing w:line="480" w:lineRule="exact"/>
        <w:rPr>
          <w:rFonts w:ascii="Arial" w:hAnsi="Arial"/>
          <w:color w:val="000000"/>
        </w:rPr>
      </w:pPr>
      <w:r>
        <w:rPr>
          <w:rFonts w:hint="eastAsia" w:ascii="Arial" w:hAnsi="Arial"/>
          <w:color w:val="000000"/>
        </w:rPr>
        <w:t>4.2</w:t>
      </w:r>
      <w:r>
        <w:rPr>
          <w:rFonts w:ascii="Arial" w:hAnsi="Arial"/>
          <w:color w:val="000000"/>
        </w:rPr>
        <w:t xml:space="preserve"> </w:t>
      </w:r>
      <w:r>
        <w:rPr>
          <w:rFonts w:hint="eastAsia" w:ascii="Arial" w:hAnsi="Arial"/>
          <w:color w:val="000000"/>
        </w:rPr>
        <w:t>本次采购车辆</w:t>
      </w:r>
      <w:r>
        <w:rPr>
          <w:rFonts w:hint="eastAsia" w:ascii="Arial" w:hAnsi="Arial"/>
          <w:color w:val="000000"/>
          <w:lang w:eastAsia="zh-CN"/>
        </w:rPr>
        <w:t>报价</w:t>
      </w:r>
      <w:r>
        <w:rPr>
          <w:rFonts w:hint="eastAsia" w:ascii="Arial" w:hAnsi="Arial"/>
          <w:color w:val="000000"/>
        </w:rPr>
        <w:t>方须免费提供整车车窗玻璃贴防爆膜及车内地毯。</w:t>
      </w:r>
    </w:p>
    <w:p>
      <w:pPr>
        <w:spacing w:line="480" w:lineRule="exact"/>
        <w:rPr>
          <w:rFonts w:ascii="Arial" w:hAnsi="Arial"/>
          <w:color w:val="000000"/>
        </w:rPr>
      </w:pPr>
      <w:r>
        <w:rPr>
          <w:rFonts w:hint="eastAsia" w:ascii="Arial" w:hAnsi="Arial"/>
          <w:color w:val="000000"/>
        </w:rPr>
        <w:t>4.3车辆必须是全新的（包括所有零部件、专用工具等）车辆，表面无划伤，无碰撞，各项技术指标完全符合国家监测标准及产品出厂标准。</w:t>
      </w:r>
    </w:p>
    <w:p>
      <w:pPr>
        <w:spacing w:line="480" w:lineRule="exact"/>
        <w:rPr>
          <w:rFonts w:ascii="Arial" w:hAnsi="Arial"/>
          <w:color w:val="000000"/>
        </w:rPr>
      </w:pPr>
      <w:r>
        <w:rPr>
          <w:rFonts w:hint="eastAsia" w:ascii="Arial" w:hAnsi="Arial"/>
          <w:color w:val="000000"/>
        </w:rPr>
        <w:t>4.4所有报价车辆需附彩色图样，供评审时参考。</w:t>
      </w:r>
      <w:bookmarkEnd w:id="4"/>
      <w:bookmarkStart w:id="5" w:name="_Toc6655487"/>
    </w:p>
    <w:p>
      <w:pPr>
        <w:pStyle w:val="3"/>
        <w:spacing w:before="0" w:line="480" w:lineRule="exact"/>
        <w:ind w:right="840" w:rightChars="400"/>
        <w:jc w:val="left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5.</w:t>
      </w:r>
      <w:r>
        <w:rPr>
          <w:rFonts w:hint="eastAsia" w:hAnsi="宋体"/>
          <w:color w:val="000000"/>
          <w:sz w:val="24"/>
          <w:szCs w:val="24"/>
        </w:rPr>
        <w:tab/>
      </w:r>
      <w:bookmarkEnd w:id="5"/>
      <w:r>
        <w:rPr>
          <w:rFonts w:hint="eastAsia" w:hAnsi="宋体"/>
          <w:color w:val="000000"/>
          <w:sz w:val="24"/>
          <w:szCs w:val="24"/>
        </w:rPr>
        <w:t>备品备件</w:t>
      </w:r>
    </w:p>
    <w:p>
      <w:pPr>
        <w:tabs>
          <w:tab w:val="left" w:pos="540"/>
        </w:tabs>
        <w:spacing w:line="480" w:lineRule="exact"/>
        <w:ind w:left="-2" w:leftChars="-1" w:right="-4" w:rightChars="-2" w:firstLine="315" w:firstLineChars="150"/>
        <w:jc w:val="left"/>
        <w:rPr>
          <w:color w:val="000000"/>
        </w:rPr>
      </w:pPr>
      <w:r>
        <w:rPr>
          <w:rFonts w:hint="eastAsia" w:ascii="Arial" w:hAnsi="Arial"/>
          <w:color w:val="000000"/>
          <w:lang w:eastAsia="zh-CN"/>
        </w:rPr>
        <w:t>报价人</w:t>
      </w:r>
      <w:r>
        <w:rPr>
          <w:rFonts w:hint="eastAsia"/>
          <w:color w:val="000000"/>
        </w:rPr>
        <w:t>应提供满足车辆免费维修保养期内正常使用的备品备件，其费用应包括在报价价格之内。</w:t>
      </w:r>
      <w:bookmarkStart w:id="6" w:name="_Toc483741680"/>
      <w:bookmarkStart w:id="7" w:name="_Toc6655488"/>
    </w:p>
    <w:p>
      <w:pPr>
        <w:pStyle w:val="3"/>
        <w:spacing w:before="0" w:line="480" w:lineRule="exact"/>
        <w:ind w:right="840" w:rightChars="400"/>
        <w:jc w:val="left"/>
        <w:rPr>
          <w:rFonts w:hAnsi="宋体"/>
          <w:color w:val="000000"/>
          <w:szCs w:val="28"/>
        </w:rPr>
      </w:pPr>
      <w:r>
        <w:rPr>
          <w:rFonts w:hint="eastAsia" w:hAnsi="宋体"/>
          <w:color w:val="000000"/>
          <w:szCs w:val="28"/>
        </w:rPr>
        <w:t>6.</w:t>
      </w:r>
      <w:r>
        <w:rPr>
          <w:rFonts w:hint="eastAsia" w:hAnsi="宋体"/>
          <w:color w:val="000000"/>
          <w:szCs w:val="28"/>
        </w:rPr>
        <w:tab/>
      </w:r>
      <w:bookmarkEnd w:id="6"/>
      <w:bookmarkEnd w:id="7"/>
      <w:r>
        <w:rPr>
          <w:rFonts w:hint="eastAsia" w:hAnsi="宋体"/>
          <w:color w:val="000000"/>
          <w:szCs w:val="28"/>
        </w:rPr>
        <w:t>服务要求</w:t>
      </w:r>
    </w:p>
    <w:p>
      <w:pPr>
        <w:spacing w:line="360" w:lineRule="auto"/>
        <w:rPr>
          <w:rFonts w:ascii="Arial" w:hAnsi="Arial"/>
          <w:color w:val="000000"/>
        </w:rPr>
      </w:pPr>
      <w:bookmarkStart w:id="8" w:name="_Toc6655489"/>
      <w:r>
        <w:rPr>
          <w:rFonts w:hint="eastAsia" w:ascii="Arial" w:hAnsi="Arial"/>
          <w:color w:val="000000"/>
        </w:rPr>
        <w:t>6.1制造商/销售商在广州要设有技术服务维修机构（4S店）。</w:t>
      </w:r>
    </w:p>
    <w:p>
      <w:pPr>
        <w:spacing w:line="360" w:lineRule="auto"/>
        <w:rPr>
          <w:rFonts w:ascii="Arial" w:hAnsi="Arial"/>
          <w:color w:val="000000"/>
        </w:rPr>
      </w:pPr>
      <w:r>
        <w:rPr>
          <w:rFonts w:hint="eastAsia" w:ascii="Arial" w:hAnsi="Arial"/>
          <w:color w:val="000000"/>
        </w:rPr>
        <w:t>6.2在保修期内，卖方在接到买方的报修通知24小时内，派出有能力的维修人员赶到买方维修现场进行维修处理。</w:t>
      </w:r>
    </w:p>
    <w:p>
      <w:pPr>
        <w:spacing w:line="360" w:lineRule="auto"/>
        <w:rPr>
          <w:rFonts w:ascii="Arial" w:hAnsi="Arial"/>
          <w:color w:val="000000"/>
        </w:rPr>
      </w:pPr>
      <w:r>
        <w:rPr>
          <w:rFonts w:hint="eastAsia" w:ascii="Arial" w:hAnsi="Arial"/>
          <w:color w:val="000000"/>
        </w:rPr>
        <w:t>6.3报价车辆享有原厂提供的优惠售后服务和保养服务。</w:t>
      </w:r>
    </w:p>
    <w:p>
      <w:pPr>
        <w:spacing w:line="360" w:lineRule="auto"/>
        <w:rPr>
          <w:rFonts w:ascii="Arial" w:hAnsi="Arial"/>
          <w:color w:val="000000"/>
        </w:rPr>
      </w:pPr>
      <w:r>
        <w:rPr>
          <w:rFonts w:hint="eastAsia"/>
          <w:color w:val="000000"/>
        </w:rPr>
        <w:t>6.4报价车辆须提供不低于原厂对外公开的维修保养期标准。（具体服务承诺由报价人提供）</w:t>
      </w:r>
    </w:p>
    <w:p>
      <w:pPr>
        <w:pStyle w:val="3"/>
        <w:spacing w:before="0" w:line="480" w:lineRule="exact"/>
        <w:ind w:right="840" w:rightChars="400"/>
        <w:jc w:val="left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7.</w:t>
      </w:r>
      <w:r>
        <w:rPr>
          <w:rFonts w:hint="eastAsia" w:hAnsi="宋体"/>
          <w:color w:val="000000"/>
          <w:sz w:val="24"/>
          <w:szCs w:val="24"/>
        </w:rPr>
        <w:tab/>
      </w:r>
      <w:bookmarkEnd w:id="8"/>
      <w:r>
        <w:rPr>
          <w:rFonts w:hint="eastAsia" w:ascii="Arial" w:hAnsi="Arial"/>
          <w:b w:val="0"/>
          <w:color w:val="000000"/>
          <w:sz w:val="24"/>
        </w:rPr>
        <w:t>技术文件</w:t>
      </w:r>
    </w:p>
    <w:p>
      <w:pPr>
        <w:tabs>
          <w:tab w:val="left" w:pos="540"/>
        </w:tabs>
        <w:spacing w:line="480" w:lineRule="exact"/>
        <w:ind w:right="174" w:rightChars="83" w:firstLine="315" w:firstLineChars="150"/>
        <w:jc w:val="left"/>
        <w:rPr>
          <w:rFonts w:ascii="Tahoma" w:hAnsi="Tahoma" w:cs="Tahoma"/>
          <w:color w:val="000000"/>
          <w:szCs w:val="21"/>
        </w:rPr>
      </w:pPr>
      <w:r>
        <w:rPr>
          <w:rFonts w:hint="eastAsia" w:ascii="Arial" w:hAnsi="Arial"/>
          <w:color w:val="000000"/>
        </w:rPr>
        <w:t>报价人应提供包括但不限于满足车辆使用和维护的技术文件。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C74A6"/>
    <w:multiLevelType w:val="multilevel"/>
    <w:tmpl w:val="6B5C74A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75"/>
    <w:rsid w:val="000370F1"/>
    <w:rsid w:val="000651C5"/>
    <w:rsid w:val="000A28CD"/>
    <w:rsid w:val="00100EF1"/>
    <w:rsid w:val="00164124"/>
    <w:rsid w:val="00167789"/>
    <w:rsid w:val="00194F79"/>
    <w:rsid w:val="001C3C38"/>
    <w:rsid w:val="002B6599"/>
    <w:rsid w:val="00460B3B"/>
    <w:rsid w:val="004D4F9A"/>
    <w:rsid w:val="004F3952"/>
    <w:rsid w:val="00507DD9"/>
    <w:rsid w:val="005122D3"/>
    <w:rsid w:val="005B06F3"/>
    <w:rsid w:val="005C37E4"/>
    <w:rsid w:val="005F07D8"/>
    <w:rsid w:val="006035E2"/>
    <w:rsid w:val="00607F54"/>
    <w:rsid w:val="00656731"/>
    <w:rsid w:val="00685AD1"/>
    <w:rsid w:val="00692FE3"/>
    <w:rsid w:val="006A6F59"/>
    <w:rsid w:val="007934EC"/>
    <w:rsid w:val="007A0782"/>
    <w:rsid w:val="007A210D"/>
    <w:rsid w:val="007B0B75"/>
    <w:rsid w:val="007D5402"/>
    <w:rsid w:val="0083286F"/>
    <w:rsid w:val="00843D2E"/>
    <w:rsid w:val="00872675"/>
    <w:rsid w:val="008A58C1"/>
    <w:rsid w:val="00995362"/>
    <w:rsid w:val="009A51E2"/>
    <w:rsid w:val="009E5D36"/>
    <w:rsid w:val="00A666D9"/>
    <w:rsid w:val="00B12DF4"/>
    <w:rsid w:val="00B1662B"/>
    <w:rsid w:val="00B50452"/>
    <w:rsid w:val="00BB55F9"/>
    <w:rsid w:val="00BD093E"/>
    <w:rsid w:val="00BD0994"/>
    <w:rsid w:val="00C2145D"/>
    <w:rsid w:val="00C9053E"/>
    <w:rsid w:val="00C92AD6"/>
    <w:rsid w:val="00D17412"/>
    <w:rsid w:val="00E44D0C"/>
    <w:rsid w:val="00E9539D"/>
    <w:rsid w:val="00EA3C36"/>
    <w:rsid w:val="00F038C2"/>
    <w:rsid w:val="00F15FFF"/>
    <w:rsid w:val="00FC2E33"/>
    <w:rsid w:val="1B6E14CC"/>
    <w:rsid w:val="4DA87D59"/>
    <w:rsid w:val="78AB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2"/>
    <w:next w:val="1"/>
    <w:link w:val="8"/>
    <w:qFormat/>
    <w:uiPriority w:val="0"/>
    <w:pPr>
      <w:adjustRightInd w:val="0"/>
      <w:spacing w:line="360" w:lineRule="auto"/>
      <w:outlineLvl w:val="1"/>
    </w:pPr>
    <w:rPr>
      <w:bCs w:val="0"/>
      <w:kern w:val="10"/>
      <w:sz w:val="28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3"/>
    <w:uiPriority w:val="0"/>
    <w:rPr>
      <w:rFonts w:ascii="Times New Roman" w:hAnsi="Times New Roman" w:eastAsia="宋体" w:cs="Times New Roman"/>
      <w:b/>
      <w:kern w:val="10"/>
      <w:sz w:val="28"/>
      <w:szCs w:val="20"/>
    </w:rPr>
  </w:style>
  <w:style w:type="character" w:customStyle="1" w:styleId="9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184</Words>
  <Characters>1050</Characters>
  <Lines>8</Lines>
  <Paragraphs>2</Paragraphs>
  <TotalTime>299</TotalTime>
  <ScaleCrop>false</ScaleCrop>
  <LinksUpToDate>false</LinksUpToDate>
  <CharactersWithSpaces>1232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2019-07-10T02:47:00Z</dcterms:created>
  <dc:creator>zwk</dc:creator>
  <cp:lastModifiedBy>Administrator</cp:lastModifiedBy>
  <dcterms:modified xsi:type="dcterms:W3CDTF">2019-07-25T10:49:43Z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