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52"/>
          <w:szCs w:val="52"/>
        </w:rPr>
      </w:pPr>
      <w:r>
        <w:rPr>
          <w:rFonts w:hint="eastAsia" w:ascii="宋体" w:hAnsi="宋体" w:cs="宋体"/>
          <w:b/>
          <w:bCs/>
          <w:sz w:val="52"/>
          <w:szCs w:val="52"/>
        </w:rPr>
        <w:t>南方医科大学第三附属医院</w:t>
      </w:r>
    </w:p>
    <w:p>
      <w:pPr>
        <w:spacing w:line="360" w:lineRule="auto"/>
        <w:jc w:val="center"/>
        <w:rPr>
          <w:rFonts w:ascii="宋体" w:hAnsi="宋体" w:cs="宋体"/>
          <w:b/>
          <w:bCs/>
          <w:sz w:val="24"/>
          <w:szCs w:val="24"/>
          <w:highlight w:val="yellow"/>
        </w:rPr>
      </w:pPr>
    </w:p>
    <w:p>
      <w:pPr>
        <w:spacing w:line="360" w:lineRule="auto"/>
        <w:jc w:val="center"/>
        <w:rPr>
          <w:rFonts w:ascii="宋体" w:hAnsi="宋体" w:cs="宋体"/>
          <w:b/>
          <w:bCs/>
          <w:sz w:val="36"/>
          <w:szCs w:val="36"/>
        </w:rPr>
      </w:pPr>
      <w:r>
        <w:rPr>
          <w:rFonts w:hint="eastAsia" w:ascii="宋体" w:hAnsi="宋体" w:cs="宋体"/>
          <w:b/>
          <w:bCs/>
          <w:sz w:val="36"/>
          <w:szCs w:val="36"/>
        </w:rPr>
        <w:t>虚拟化平台防毒</w:t>
      </w:r>
      <w:r>
        <w:rPr>
          <w:rFonts w:hint="eastAsia" w:ascii="宋体" w:hAnsi="宋体" w:cs="宋体"/>
          <w:b/>
          <w:bCs/>
          <w:sz w:val="36"/>
          <w:szCs w:val="36"/>
          <w:lang w:eastAsia="zh-CN"/>
        </w:rPr>
        <w:t>软件</w:t>
      </w:r>
      <w:r>
        <w:rPr>
          <w:rFonts w:hint="eastAsia" w:ascii="宋体" w:hAnsi="宋体" w:cs="宋体"/>
          <w:b/>
          <w:bCs/>
          <w:sz w:val="36"/>
          <w:szCs w:val="36"/>
        </w:rPr>
        <w:t>用户需求</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before="156" w:beforeLines="50" w:after="156" w:afterLines="50" w:line="360" w:lineRule="auto"/>
        <w:jc w:val="left"/>
        <w:rPr>
          <w:rFonts w:ascii="宋体" w:hAnsi="宋体" w:cs="宋体"/>
          <w:b/>
          <w:sz w:val="24"/>
          <w:szCs w:val="24"/>
        </w:rPr>
      </w:pPr>
      <w:r>
        <w:rPr>
          <w:rFonts w:hint="eastAsia" w:ascii="宋体" w:hAnsi="宋体" w:cs="宋体"/>
          <w:b/>
          <w:sz w:val="24"/>
          <w:szCs w:val="24"/>
        </w:rPr>
        <w:br w:type="page"/>
      </w:r>
    </w:p>
    <w:p>
      <w:pPr>
        <w:rPr>
          <w:rFonts w:ascii="宋体" w:hAnsi="宋体" w:cs="宋体"/>
          <w:sz w:val="24"/>
          <w:szCs w:val="24"/>
        </w:rPr>
      </w:pPr>
    </w:p>
    <w:p>
      <w:pPr>
        <w:pStyle w:val="2"/>
        <w:numPr>
          <w:ilvl w:val="0"/>
          <w:numId w:val="1"/>
        </w:numPr>
        <w:spacing w:line="360" w:lineRule="auto"/>
        <w:rPr>
          <w:rFonts w:ascii="宋体" w:hAnsi="宋体" w:cs="宋体"/>
          <w:sz w:val="28"/>
          <w:szCs w:val="28"/>
        </w:rPr>
      </w:pPr>
      <w:bookmarkStart w:id="0" w:name="_Toc26652"/>
      <w:r>
        <w:rPr>
          <w:rFonts w:hint="eastAsia" w:ascii="宋体" w:hAnsi="宋体" w:cs="宋体"/>
          <w:sz w:val="28"/>
          <w:szCs w:val="28"/>
        </w:rPr>
        <w:t>项目</w:t>
      </w:r>
      <w:bookmarkEnd w:id="0"/>
      <w:r>
        <w:rPr>
          <w:rFonts w:hint="eastAsia" w:ascii="宋体" w:hAnsi="宋体" w:cs="宋体"/>
          <w:sz w:val="28"/>
          <w:szCs w:val="28"/>
        </w:rPr>
        <w:t>目标和范围</w:t>
      </w:r>
    </w:p>
    <w:p>
      <w:pPr>
        <w:ind w:firstLine="560" w:firstLineChars="200"/>
        <w:rPr>
          <w:rFonts w:ascii="宋体" w:hAnsi="宋体" w:cs="宋体"/>
          <w:color w:val="000000"/>
          <w:sz w:val="28"/>
          <w:szCs w:val="28"/>
        </w:rPr>
      </w:pPr>
      <w:r>
        <w:rPr>
          <w:rFonts w:ascii="宋体" w:hAnsi="宋体" w:cs="宋体"/>
          <w:color w:val="000000"/>
          <w:sz w:val="28"/>
          <w:szCs w:val="28"/>
        </w:rPr>
        <w:t>本次虚拟化安全防病毒软件建设主要针对南方医科大学第三附属医院</w:t>
      </w:r>
      <w:r>
        <w:rPr>
          <w:rFonts w:hint="eastAsia" w:ascii="宋体" w:hAnsi="宋体" w:cs="宋体"/>
          <w:color w:val="000000"/>
          <w:sz w:val="28"/>
          <w:szCs w:val="28"/>
        </w:rPr>
        <w:t>新虚拟化</w:t>
      </w:r>
      <w:r>
        <w:rPr>
          <w:rFonts w:ascii="宋体" w:hAnsi="宋体" w:cs="宋体"/>
          <w:color w:val="000000"/>
          <w:sz w:val="28"/>
          <w:szCs w:val="28"/>
        </w:rPr>
        <w:t>系统</w:t>
      </w:r>
      <w:r>
        <w:rPr>
          <w:rFonts w:hint="eastAsia" w:ascii="宋体" w:hAnsi="宋体" w:cs="宋体"/>
          <w:color w:val="000000"/>
          <w:sz w:val="28"/>
          <w:szCs w:val="28"/>
        </w:rPr>
        <w:t>所承载的服务器</w:t>
      </w:r>
      <w:r>
        <w:rPr>
          <w:rFonts w:ascii="宋体" w:hAnsi="宋体" w:cs="宋体"/>
          <w:color w:val="000000"/>
          <w:sz w:val="28"/>
          <w:szCs w:val="28"/>
        </w:rPr>
        <w:t>在虚拟化环境中面临的安全问题风险，依据服务器安全相关标准及行业最佳实践，为主机安全提供安全解决方案，提升整体虚拟化环境的安全防护能力。主要包括防病毒木马防治、恶意文件防护、爆发型威胁主动防御，进一步保障医院业务系统在虚拟化环境的安全性，整体监控虚拟化环境的文件安全态势，管理和维护虚拟化环境的主机系统安全。</w:t>
      </w:r>
    </w:p>
    <w:p>
      <w:pPr>
        <w:ind w:firstLine="560" w:firstLineChars="200"/>
        <w:rPr>
          <w:rFonts w:ascii="宋体" w:hAnsi="宋体" w:cs="宋体"/>
          <w:sz w:val="28"/>
          <w:szCs w:val="28"/>
        </w:rPr>
      </w:pPr>
    </w:p>
    <w:p>
      <w:pPr>
        <w:pStyle w:val="2"/>
        <w:numPr>
          <w:ilvl w:val="0"/>
          <w:numId w:val="2"/>
        </w:numPr>
        <w:spacing w:line="360" w:lineRule="auto"/>
        <w:rPr>
          <w:rFonts w:ascii="宋体" w:hAnsi="宋体" w:cs="宋体"/>
          <w:sz w:val="28"/>
          <w:szCs w:val="28"/>
        </w:rPr>
      </w:pPr>
      <w:bookmarkStart w:id="1" w:name="_Toc17711"/>
      <w:r>
        <w:rPr>
          <w:rFonts w:hint="eastAsia" w:ascii="宋体" w:hAnsi="宋体" w:cs="宋体"/>
          <w:sz w:val="28"/>
          <w:szCs w:val="28"/>
        </w:rPr>
        <w:t>项目概况及需求清单</w:t>
      </w:r>
      <w:bookmarkEnd w:id="1"/>
    </w:p>
    <w:p>
      <w:pPr>
        <w:numPr>
          <w:ilvl w:val="0"/>
          <w:numId w:val="3"/>
        </w:numPr>
        <w:spacing w:line="276" w:lineRule="auto"/>
        <w:rPr>
          <w:rFonts w:hint="eastAsia" w:ascii="宋体" w:hAnsi="宋体" w:cs="宋体"/>
          <w:sz w:val="28"/>
          <w:szCs w:val="28"/>
          <w:lang w:eastAsia="zh-CN"/>
        </w:rPr>
      </w:pPr>
      <w:r>
        <w:rPr>
          <w:rFonts w:hint="eastAsia" w:ascii="宋体" w:hAnsi="宋体" w:cs="宋体"/>
          <w:sz w:val="28"/>
          <w:szCs w:val="28"/>
        </w:rPr>
        <w:t>项目名称：虚拟化平台防毒</w:t>
      </w:r>
      <w:r>
        <w:rPr>
          <w:rFonts w:hint="eastAsia" w:ascii="宋体" w:hAnsi="宋体" w:cs="宋体"/>
          <w:sz w:val="28"/>
          <w:szCs w:val="28"/>
          <w:lang w:eastAsia="zh-CN"/>
        </w:rPr>
        <w:t>软件</w:t>
      </w:r>
    </w:p>
    <w:p>
      <w:pPr>
        <w:numPr>
          <w:ilvl w:val="0"/>
          <w:numId w:val="3"/>
        </w:numPr>
        <w:spacing w:line="276" w:lineRule="auto"/>
        <w:rPr>
          <w:rFonts w:ascii="宋体" w:hAnsi="宋体" w:cs="宋体"/>
          <w:sz w:val="28"/>
          <w:szCs w:val="28"/>
        </w:rPr>
      </w:pPr>
      <w:r>
        <w:rPr>
          <w:rFonts w:hint="eastAsia" w:ascii="宋体" w:hAnsi="宋体" w:cs="宋体"/>
          <w:sz w:val="28"/>
          <w:szCs w:val="28"/>
        </w:rPr>
        <w:t>交货地点：</w:t>
      </w:r>
      <w:r>
        <w:rPr>
          <w:rFonts w:hint="eastAsia" w:ascii="宋体" w:hAnsi="宋体" w:cs="宋体"/>
          <w:color w:val="000000"/>
          <w:sz w:val="28"/>
          <w:szCs w:val="28"/>
        </w:rPr>
        <w:t>南方医科大学第三附属医院信息科或采购人指定地点</w:t>
      </w:r>
    </w:p>
    <w:p>
      <w:pPr>
        <w:widowControl/>
        <w:jc w:val="left"/>
        <w:rPr>
          <w:rFonts w:ascii="宋体" w:hAnsi="宋体" w:cs="宋体"/>
          <w:b/>
          <w:bCs/>
          <w:color w:val="474747"/>
          <w:kern w:val="0"/>
          <w:sz w:val="28"/>
          <w:szCs w:val="28"/>
        </w:rPr>
      </w:pPr>
      <w:r>
        <w:rPr>
          <w:rFonts w:hint="eastAsia" w:ascii="宋体" w:hAnsi="宋体" w:cs="宋体"/>
          <w:sz w:val="28"/>
          <w:szCs w:val="28"/>
          <w:lang w:val="en-US" w:eastAsia="zh-CN"/>
        </w:rPr>
        <w:t>3.</w:t>
      </w:r>
      <w:r>
        <w:rPr>
          <w:rFonts w:hint="eastAsia" w:ascii="宋体" w:hAnsi="宋体" w:cs="宋体"/>
          <w:b/>
          <w:bCs/>
          <w:color w:val="474747"/>
          <w:kern w:val="0"/>
          <w:sz w:val="28"/>
          <w:szCs w:val="28"/>
        </w:rPr>
        <w:t>报价人资格条件</w:t>
      </w:r>
    </w:p>
    <w:p>
      <w:pPr>
        <w:widowControl/>
        <w:numPr>
          <w:ilvl w:val="0"/>
          <w:numId w:val="4"/>
        </w:numPr>
        <w:ind w:left="425" w:leftChars="0" w:hanging="425" w:firstLineChars="0"/>
        <w:jc w:val="left"/>
        <w:rPr>
          <w:rFonts w:ascii="宋体" w:hAnsi="宋体" w:cs="宋体"/>
          <w:color w:val="000000"/>
          <w:sz w:val="28"/>
          <w:szCs w:val="28"/>
        </w:rPr>
      </w:pPr>
      <w:r>
        <w:rPr>
          <w:rFonts w:hint="eastAsia" w:ascii="宋体" w:hAnsi="宋体" w:cs="宋体"/>
          <w:color w:val="000000"/>
          <w:sz w:val="28"/>
          <w:szCs w:val="28"/>
        </w:rPr>
        <w:t>必须是在中华人民共和国境内注册的具有独立承担民事责任能力的法人或其它组织。</w:t>
      </w:r>
    </w:p>
    <w:p>
      <w:pPr>
        <w:widowControl/>
        <w:numPr>
          <w:ilvl w:val="0"/>
          <w:numId w:val="4"/>
        </w:numPr>
        <w:ind w:left="425" w:leftChars="0" w:hanging="425" w:firstLineChars="0"/>
        <w:jc w:val="left"/>
        <w:rPr>
          <w:rFonts w:ascii="宋体" w:hAnsi="宋体" w:cs="宋体"/>
          <w:color w:val="000000"/>
          <w:sz w:val="28"/>
          <w:szCs w:val="28"/>
        </w:rPr>
      </w:pPr>
      <w:r>
        <w:rPr>
          <w:rFonts w:hint="eastAsia" w:ascii="宋体" w:hAnsi="宋体" w:cs="宋体"/>
          <w:color w:val="000000"/>
          <w:sz w:val="28"/>
          <w:szCs w:val="28"/>
        </w:rPr>
        <w:t>具有本项目相关的其他资质。</w:t>
      </w:r>
    </w:p>
    <w:p>
      <w:pPr>
        <w:widowControl/>
        <w:numPr>
          <w:ilvl w:val="0"/>
          <w:numId w:val="4"/>
        </w:numPr>
        <w:ind w:left="425" w:leftChars="0" w:hanging="425" w:firstLineChars="0"/>
        <w:jc w:val="left"/>
        <w:rPr>
          <w:rFonts w:ascii="宋体" w:hAnsi="宋体" w:cs="宋体"/>
          <w:color w:val="000000"/>
          <w:sz w:val="28"/>
          <w:szCs w:val="28"/>
        </w:rPr>
      </w:pPr>
      <w:r>
        <w:rPr>
          <w:rFonts w:hint="eastAsia" w:ascii="宋体" w:hAnsi="宋体" w:cs="宋体"/>
          <w:color w:val="000000"/>
          <w:sz w:val="28"/>
          <w:szCs w:val="28"/>
        </w:rPr>
        <w:t>所报价产品质量符合国家相关要求。</w:t>
      </w:r>
    </w:p>
    <w:p>
      <w:pPr>
        <w:widowControl/>
        <w:numPr>
          <w:ilvl w:val="0"/>
          <w:numId w:val="4"/>
        </w:numPr>
        <w:ind w:left="425" w:leftChars="0" w:hanging="425" w:firstLineChars="0"/>
        <w:jc w:val="left"/>
        <w:rPr>
          <w:rFonts w:ascii="宋体" w:hAnsi="宋体" w:cs="宋体"/>
          <w:color w:val="000000"/>
          <w:sz w:val="28"/>
          <w:szCs w:val="28"/>
        </w:rPr>
      </w:pPr>
      <w:r>
        <w:rPr>
          <w:rFonts w:hint="eastAsia" w:ascii="宋体" w:hAnsi="宋体" w:cs="宋体"/>
          <w:color w:val="000000"/>
          <w:sz w:val="28"/>
          <w:szCs w:val="28"/>
        </w:rPr>
        <w:t>报价人提供在近三年内商业活动中无违法、违规、违纪、违约行为的书面声明。</w:t>
      </w:r>
    </w:p>
    <w:p>
      <w:pPr>
        <w:widowControl/>
        <w:numPr>
          <w:ilvl w:val="0"/>
          <w:numId w:val="4"/>
        </w:numPr>
        <w:ind w:left="425" w:leftChars="0" w:hanging="425" w:firstLineChars="0"/>
        <w:jc w:val="left"/>
        <w:rPr>
          <w:rFonts w:hint="eastAsia" w:ascii="宋体" w:hAnsi="宋体" w:cs="宋体"/>
          <w:color w:val="000000"/>
          <w:sz w:val="28"/>
          <w:szCs w:val="28"/>
        </w:rPr>
      </w:pPr>
      <w:r>
        <w:rPr>
          <w:rFonts w:hint="eastAsia" w:ascii="宋体" w:hAnsi="宋体" w:cs="宋体"/>
          <w:color w:val="000000"/>
          <w:sz w:val="28"/>
          <w:szCs w:val="28"/>
        </w:rPr>
        <w:t>本项目不接受联合体报名。</w:t>
      </w:r>
    </w:p>
    <w:p>
      <w:pPr>
        <w:widowControl/>
        <w:numPr>
          <w:ilvl w:val="0"/>
          <w:numId w:val="4"/>
        </w:numPr>
        <w:ind w:left="425" w:leftChars="0" w:hanging="425" w:firstLineChars="0"/>
        <w:jc w:val="left"/>
        <w:rPr>
          <w:rFonts w:hint="eastAsia" w:ascii="宋体" w:hAnsi="宋体" w:cs="宋体"/>
          <w:color w:val="000000"/>
          <w:sz w:val="28"/>
          <w:szCs w:val="28"/>
        </w:rPr>
      </w:pPr>
      <w:r>
        <w:rPr>
          <w:rFonts w:hint="eastAsia" w:ascii="宋体" w:hAnsi="宋体" w:cs="宋体"/>
          <w:color w:val="000000"/>
          <w:sz w:val="28"/>
          <w:szCs w:val="28"/>
        </w:rPr>
        <w:t>单位负责人为同一人或者存在直接控股、管理关系的不同供应商，不得参加同一项目报价, 一经发现按废标处理并标记为不诚信供应商。</w:t>
      </w:r>
    </w:p>
    <w:p>
      <w:pPr>
        <w:spacing w:line="276" w:lineRule="auto"/>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服务期限：</w:t>
      </w:r>
    </w:p>
    <w:p>
      <w:pPr>
        <w:spacing w:line="300" w:lineRule="auto"/>
        <w:rPr>
          <w:rFonts w:hint="eastAsia" w:ascii="宋体" w:hAnsi="宋体" w:eastAsia="宋体" w:cs="宋体"/>
          <w:sz w:val="28"/>
          <w:szCs w:val="28"/>
          <w:lang w:eastAsia="zh-CN"/>
        </w:rPr>
      </w:pPr>
      <w:r>
        <w:rPr>
          <w:rFonts w:hint="eastAsia" w:ascii="宋体" w:hAnsi="宋体" w:cs="宋体"/>
          <w:color w:val="1D41D5"/>
          <w:sz w:val="28"/>
          <w:szCs w:val="28"/>
        </w:rPr>
        <w:t>本合同自双方签章之日起一年</w:t>
      </w:r>
      <w:r>
        <w:rPr>
          <w:rFonts w:hint="eastAsia" w:ascii="宋体" w:hAnsi="宋体" w:cs="宋体"/>
          <w:color w:val="1D41D5"/>
          <w:sz w:val="28"/>
          <w:szCs w:val="28"/>
          <w:lang w:eastAsia="zh-CN"/>
        </w:rPr>
        <w:t>（服务满意可顺延一年，顺延不超过</w:t>
      </w:r>
      <w:r>
        <w:rPr>
          <w:rFonts w:hint="eastAsia" w:ascii="宋体" w:hAnsi="宋体" w:cs="宋体"/>
          <w:color w:val="1D41D5"/>
          <w:sz w:val="28"/>
          <w:szCs w:val="28"/>
          <w:lang w:val="en-US" w:eastAsia="zh-CN"/>
        </w:rPr>
        <w:t>2次</w:t>
      </w:r>
      <w:r>
        <w:rPr>
          <w:rFonts w:hint="eastAsia" w:ascii="宋体" w:hAnsi="宋体" w:cs="宋体"/>
          <w:color w:val="1D41D5"/>
          <w:sz w:val="28"/>
          <w:szCs w:val="28"/>
          <w:lang w:eastAsia="zh-CN"/>
        </w:rPr>
        <w:t>）</w:t>
      </w:r>
    </w:p>
    <w:p>
      <w:pPr>
        <w:numPr>
          <w:ilvl w:val="0"/>
          <w:numId w:val="0"/>
        </w:numPr>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清单</w:t>
      </w:r>
    </w:p>
    <w:tbl>
      <w:tblPr>
        <w:tblStyle w:val="19"/>
        <w:tblW w:w="9015" w:type="dxa"/>
        <w:tblInd w:w="0" w:type="dxa"/>
        <w:tblLayout w:type="fixed"/>
        <w:tblCellMar>
          <w:top w:w="0" w:type="dxa"/>
          <w:left w:w="108" w:type="dxa"/>
          <w:bottom w:w="0" w:type="dxa"/>
          <w:right w:w="108" w:type="dxa"/>
        </w:tblCellMar>
      </w:tblPr>
      <w:tblGrid>
        <w:gridCol w:w="922"/>
        <w:gridCol w:w="2268"/>
        <w:gridCol w:w="993"/>
        <w:gridCol w:w="850"/>
        <w:gridCol w:w="2126"/>
        <w:gridCol w:w="1856"/>
      </w:tblGrid>
      <w:tr>
        <w:tblPrEx>
          <w:tblCellMar>
            <w:top w:w="0" w:type="dxa"/>
            <w:left w:w="108" w:type="dxa"/>
            <w:bottom w:w="0" w:type="dxa"/>
            <w:right w:w="108" w:type="dxa"/>
          </w:tblCellMar>
        </w:tblPrEx>
        <w:trPr>
          <w:trHeight w:val="270" w:hRule="atLeast"/>
        </w:trPr>
        <w:tc>
          <w:tcPr>
            <w:tcW w:w="92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b/>
                <w:bCs/>
                <w:color w:val="000000"/>
                <w:sz w:val="28"/>
                <w:szCs w:val="28"/>
              </w:rPr>
            </w:pPr>
            <w:r>
              <w:rPr>
                <w:rFonts w:hint="eastAsia" w:ascii="宋体" w:hAnsi="宋体" w:cs="宋体"/>
                <w:b/>
                <w:bCs/>
                <w:color w:val="000000"/>
                <w:sz w:val="28"/>
                <w:szCs w:val="28"/>
              </w:rPr>
              <w:t>序号</w:t>
            </w:r>
          </w:p>
        </w:tc>
        <w:tc>
          <w:tcPr>
            <w:tcW w:w="2268"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b/>
                <w:bCs/>
                <w:color w:val="000000"/>
                <w:sz w:val="28"/>
                <w:szCs w:val="28"/>
              </w:rPr>
            </w:pPr>
            <w:r>
              <w:rPr>
                <w:rFonts w:hint="eastAsia" w:ascii="宋体" w:hAnsi="宋体" w:cs="宋体"/>
                <w:b/>
                <w:bCs/>
                <w:color w:val="000000"/>
                <w:sz w:val="28"/>
                <w:szCs w:val="28"/>
              </w:rPr>
              <w:t>商品名称</w:t>
            </w:r>
          </w:p>
        </w:tc>
        <w:tc>
          <w:tcPr>
            <w:tcW w:w="993"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b/>
                <w:bCs/>
                <w:color w:val="000000"/>
                <w:sz w:val="28"/>
                <w:szCs w:val="28"/>
              </w:rPr>
            </w:pPr>
            <w:r>
              <w:rPr>
                <w:rFonts w:hint="eastAsia" w:ascii="宋体" w:hAnsi="宋体" w:cs="宋体"/>
                <w:b/>
                <w:bCs/>
                <w:color w:val="000000"/>
                <w:sz w:val="28"/>
                <w:szCs w:val="28"/>
              </w:rPr>
              <w:t>单位</w:t>
            </w:r>
          </w:p>
        </w:tc>
        <w:tc>
          <w:tcPr>
            <w:tcW w:w="850"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b/>
                <w:bCs/>
                <w:color w:val="000000"/>
                <w:sz w:val="28"/>
                <w:szCs w:val="28"/>
              </w:rPr>
            </w:pPr>
            <w:r>
              <w:rPr>
                <w:rFonts w:hint="eastAsia" w:ascii="宋体" w:hAnsi="宋体" w:cs="宋体"/>
                <w:b/>
                <w:bCs/>
                <w:color w:val="000000"/>
                <w:sz w:val="28"/>
                <w:szCs w:val="28"/>
              </w:rPr>
              <w:t>数量</w:t>
            </w:r>
          </w:p>
        </w:tc>
        <w:tc>
          <w:tcPr>
            <w:tcW w:w="2126" w:type="dxa"/>
            <w:tcBorders>
              <w:top w:val="single" w:color="auto" w:sz="4" w:space="0"/>
              <w:left w:val="nil"/>
              <w:bottom w:val="single" w:color="auto" w:sz="4" w:space="0"/>
              <w:right w:val="single" w:color="auto" w:sz="4" w:space="0"/>
            </w:tcBorders>
            <w:vAlign w:val="center"/>
          </w:tcPr>
          <w:p>
            <w:pPr>
              <w:widowControl/>
              <w:spacing w:line="240" w:lineRule="atLeast"/>
              <w:ind w:left="281" w:hanging="281" w:hangingChars="100"/>
              <w:jc w:val="left"/>
              <w:rPr>
                <w:rFonts w:ascii="宋体" w:hAnsi="宋体" w:cs="宋体"/>
                <w:b/>
                <w:bCs/>
                <w:color w:val="000000"/>
                <w:sz w:val="28"/>
                <w:szCs w:val="28"/>
              </w:rPr>
            </w:pPr>
            <w:r>
              <w:rPr>
                <w:rFonts w:hint="eastAsia" w:ascii="宋体" w:hAnsi="宋体" w:cs="宋体"/>
                <w:b/>
                <w:bCs/>
                <w:color w:val="000000"/>
                <w:sz w:val="28"/>
                <w:szCs w:val="28"/>
              </w:rPr>
              <w:t>参考单价（元）</w:t>
            </w:r>
          </w:p>
        </w:tc>
        <w:tc>
          <w:tcPr>
            <w:tcW w:w="1856"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宋体" w:hAnsi="宋体" w:cs="宋体"/>
                <w:b/>
                <w:bCs/>
                <w:color w:val="000000"/>
                <w:sz w:val="28"/>
                <w:szCs w:val="28"/>
              </w:rPr>
            </w:pPr>
            <w:r>
              <w:rPr>
                <w:rFonts w:hint="eastAsia" w:ascii="宋体" w:hAnsi="宋体" w:cs="宋体"/>
                <w:b/>
                <w:bCs/>
                <w:color w:val="000000"/>
                <w:sz w:val="28"/>
                <w:szCs w:val="28"/>
              </w:rPr>
              <w:t>合计（元）</w:t>
            </w:r>
          </w:p>
        </w:tc>
      </w:tr>
      <w:tr>
        <w:tblPrEx>
          <w:tblCellMar>
            <w:top w:w="0" w:type="dxa"/>
            <w:left w:w="108" w:type="dxa"/>
            <w:bottom w:w="0" w:type="dxa"/>
            <w:right w:w="108" w:type="dxa"/>
          </w:tblCellMar>
        </w:tblPrEx>
        <w:trPr>
          <w:trHeight w:val="450" w:hRule="atLeast"/>
        </w:trPr>
        <w:tc>
          <w:tcPr>
            <w:tcW w:w="922" w:type="dxa"/>
            <w:tcBorders>
              <w:top w:val="nil"/>
              <w:left w:val="single" w:color="auto" w:sz="4" w:space="0"/>
              <w:bottom w:val="single" w:color="auto" w:sz="4" w:space="0"/>
              <w:right w:val="single" w:color="auto" w:sz="4" w:space="0"/>
            </w:tcBorders>
            <w:vAlign w:val="center"/>
          </w:tcPr>
          <w:p>
            <w:pPr>
              <w:widowControl/>
              <w:spacing w:line="240" w:lineRule="atLeast"/>
              <w:jc w:val="left"/>
              <w:rPr>
                <w:rFonts w:ascii="宋体" w:hAnsi="宋体" w:cs="宋体"/>
                <w:sz w:val="28"/>
                <w:szCs w:val="28"/>
              </w:rPr>
            </w:pPr>
            <w:r>
              <w:rPr>
                <w:rFonts w:hint="eastAsia" w:ascii="宋体" w:hAnsi="宋体" w:cs="宋体"/>
                <w:sz w:val="28"/>
                <w:szCs w:val="28"/>
              </w:rPr>
              <w:t>1</w:t>
            </w:r>
          </w:p>
        </w:tc>
        <w:tc>
          <w:tcPr>
            <w:tcW w:w="2268"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sz w:val="28"/>
                <w:szCs w:val="28"/>
              </w:rPr>
            </w:pPr>
            <w:r>
              <w:rPr>
                <w:rFonts w:hint="eastAsia" w:ascii="宋体" w:hAnsi="宋体" w:cs="宋体"/>
                <w:sz w:val="28"/>
                <w:szCs w:val="28"/>
              </w:rPr>
              <w:t>虚拟化防毒软件</w:t>
            </w:r>
          </w:p>
        </w:tc>
        <w:tc>
          <w:tcPr>
            <w:tcW w:w="993"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sz w:val="28"/>
                <w:szCs w:val="28"/>
              </w:rPr>
            </w:pPr>
            <w:r>
              <w:rPr>
                <w:rFonts w:hint="eastAsia" w:ascii="宋体" w:hAnsi="宋体" w:cs="宋体"/>
                <w:sz w:val="28"/>
                <w:szCs w:val="28"/>
              </w:rPr>
              <w:t>套</w:t>
            </w:r>
          </w:p>
        </w:tc>
        <w:tc>
          <w:tcPr>
            <w:tcW w:w="850"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8"/>
                <w:szCs w:val="28"/>
              </w:rPr>
            </w:pPr>
            <w:r>
              <w:rPr>
                <w:rFonts w:ascii="宋体" w:hAnsi="宋体" w:cs="宋体"/>
                <w:color w:val="000000"/>
                <w:sz w:val="28"/>
                <w:szCs w:val="28"/>
              </w:rPr>
              <w:t>1</w:t>
            </w:r>
          </w:p>
        </w:tc>
        <w:tc>
          <w:tcPr>
            <w:tcW w:w="2126"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8"/>
                <w:szCs w:val="28"/>
              </w:rPr>
            </w:pPr>
          </w:p>
        </w:tc>
        <w:tc>
          <w:tcPr>
            <w:tcW w:w="1856"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color w:val="000000"/>
                <w:sz w:val="28"/>
                <w:szCs w:val="28"/>
              </w:rPr>
            </w:pPr>
          </w:p>
        </w:tc>
      </w:tr>
    </w:tbl>
    <w:p>
      <w:pPr>
        <w:pStyle w:val="2"/>
        <w:numPr>
          <w:ilvl w:val="0"/>
          <w:numId w:val="2"/>
        </w:numPr>
        <w:spacing w:line="360" w:lineRule="auto"/>
        <w:rPr>
          <w:rFonts w:ascii="宋体" w:hAnsi="宋体" w:cs="宋体"/>
          <w:sz w:val="28"/>
          <w:szCs w:val="28"/>
        </w:rPr>
      </w:pPr>
      <w:r>
        <w:rPr>
          <w:rFonts w:hint="eastAsia" w:ascii="宋体" w:hAnsi="宋体" w:cs="宋体"/>
          <w:sz w:val="28"/>
          <w:szCs w:val="28"/>
        </w:rPr>
        <w:t>技术要求</w:t>
      </w:r>
    </w:p>
    <w:tbl>
      <w:tblPr>
        <w:tblStyle w:val="20"/>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21"/>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shd w:val="clear" w:color="auto" w:fill="D8D8D8" w:themeFill="background1" w:themeFillShade="D9"/>
            <w:vAlign w:val="center"/>
          </w:tcPr>
          <w:p>
            <w:pPr>
              <w:jc w:val="center"/>
              <w:rPr>
                <w:rFonts w:ascii="宋体" w:hAnsi="宋体"/>
                <w:b/>
                <w:bCs/>
                <w:lang w:eastAsia="zh-Hans"/>
              </w:rPr>
            </w:pPr>
            <w:r>
              <w:rPr>
                <w:rFonts w:hint="eastAsia" w:ascii="宋体" w:hAnsi="宋体"/>
                <w:b/>
                <w:bCs/>
                <w:lang w:eastAsia="zh-Hans"/>
              </w:rPr>
              <w:t>序号</w:t>
            </w:r>
          </w:p>
        </w:tc>
        <w:tc>
          <w:tcPr>
            <w:tcW w:w="1921" w:type="dxa"/>
            <w:shd w:val="clear" w:color="auto" w:fill="D8D8D8" w:themeFill="background1" w:themeFillShade="D9"/>
            <w:vAlign w:val="center"/>
          </w:tcPr>
          <w:p>
            <w:pPr>
              <w:jc w:val="center"/>
              <w:rPr>
                <w:rFonts w:ascii="宋体" w:hAnsi="宋体"/>
                <w:b/>
                <w:bCs/>
              </w:rPr>
            </w:pPr>
            <w:r>
              <w:rPr>
                <w:rFonts w:hint="eastAsia" w:ascii="宋体" w:hAnsi="宋体"/>
                <w:b/>
                <w:bCs/>
              </w:rPr>
              <w:t>参数类型</w:t>
            </w:r>
          </w:p>
        </w:tc>
        <w:tc>
          <w:tcPr>
            <w:tcW w:w="6631" w:type="dxa"/>
            <w:shd w:val="clear" w:color="auto" w:fill="D8D8D8" w:themeFill="background1" w:themeFillShade="D9"/>
          </w:tcPr>
          <w:p>
            <w:pPr>
              <w:jc w:val="center"/>
              <w:rPr>
                <w:rFonts w:ascii="宋体" w:hAnsi="宋体"/>
                <w:b/>
                <w:bCs/>
              </w:rPr>
            </w:pPr>
            <w:r>
              <w:rPr>
                <w:rFonts w:hint="eastAsia" w:ascii="宋体" w:hAnsi="宋体"/>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41" w:type="dxa"/>
            <w:vAlign w:val="center"/>
          </w:tcPr>
          <w:p>
            <w:pPr>
              <w:numPr>
                <w:ilvl w:val="0"/>
                <w:numId w:val="5"/>
              </w:numPr>
              <w:spacing w:before="100" w:beforeAutospacing="1" w:after="100" w:afterAutospacing="1"/>
              <w:jc w:val="center"/>
              <w:rPr>
                <w:rFonts w:ascii="宋体" w:hAnsi="宋体" w:cs="宋体"/>
                <w:b/>
                <w:bCs/>
                <w:kern w:val="0"/>
                <w:szCs w:val="18"/>
                <w:lang w:eastAsia="zh-Hans"/>
              </w:rPr>
            </w:pPr>
          </w:p>
        </w:tc>
        <w:tc>
          <w:tcPr>
            <w:tcW w:w="1921" w:type="dxa"/>
            <w:vAlign w:val="center"/>
          </w:tcPr>
          <w:p>
            <w:pPr>
              <w:jc w:val="center"/>
              <w:rPr>
                <w:rFonts w:ascii="宋体" w:hAnsi="宋体" w:cs="宋体"/>
                <w:b/>
                <w:bCs/>
                <w:kern w:val="0"/>
                <w:szCs w:val="18"/>
                <w:lang w:eastAsia="zh-Hans"/>
              </w:rPr>
            </w:pPr>
            <w:r>
              <w:rPr>
                <w:rFonts w:hint="eastAsia" w:ascii="宋体" w:hAnsi="宋体" w:cs="宋体"/>
                <w:b/>
                <w:bCs/>
                <w:kern w:val="0"/>
                <w:szCs w:val="18"/>
                <w:lang w:eastAsia="zh-Hans"/>
              </w:rPr>
              <w:t>授权数量</w:t>
            </w:r>
          </w:p>
        </w:tc>
        <w:tc>
          <w:tcPr>
            <w:tcW w:w="6631" w:type="dxa"/>
            <w:vAlign w:val="center"/>
          </w:tcPr>
          <w:p>
            <w:pPr>
              <w:widowControl/>
              <w:rPr>
                <w:rFonts w:ascii="宋体" w:hAnsi="宋体" w:cs="宋体"/>
                <w:kern w:val="0"/>
                <w:szCs w:val="18"/>
                <w:lang w:eastAsia="zh-Hans"/>
              </w:rPr>
            </w:pPr>
            <w:r>
              <w:rPr>
                <w:rFonts w:hint="eastAsia" w:ascii="宋体" w:hAnsi="宋体" w:cs="宋体"/>
                <w:kern w:val="0"/>
                <w:szCs w:val="18"/>
                <w:lang w:eastAsia="zh-Hans"/>
              </w:rPr>
              <w:t>提供</w:t>
            </w:r>
            <w:r>
              <w:rPr>
                <w:rFonts w:ascii="宋体" w:hAnsi="宋体" w:cs="宋体"/>
                <w:kern w:val="0"/>
                <w:szCs w:val="18"/>
                <w:lang w:eastAsia="zh-Hans"/>
              </w:rPr>
              <w:t>10</w:t>
            </w:r>
            <w:r>
              <w:rPr>
                <w:rFonts w:hint="eastAsia" w:ascii="宋体" w:hAnsi="宋体" w:cs="宋体"/>
                <w:kern w:val="0"/>
                <w:szCs w:val="18"/>
                <w:lang w:eastAsia="zh-Hans"/>
              </w:rPr>
              <w:t>颗CPU授权或者</w:t>
            </w:r>
            <w:r>
              <w:rPr>
                <w:rFonts w:ascii="宋体" w:hAnsi="宋体" w:cs="宋体"/>
                <w:kern w:val="0"/>
                <w:szCs w:val="18"/>
                <w:lang w:eastAsia="zh-Hans"/>
              </w:rPr>
              <w:t>70</w:t>
            </w:r>
            <w:r>
              <w:rPr>
                <w:rFonts w:hint="eastAsia" w:ascii="宋体" w:hAnsi="宋体" w:cs="宋体"/>
                <w:kern w:val="0"/>
                <w:szCs w:val="18"/>
                <w:lang w:eastAsia="zh-Hans"/>
              </w:rPr>
              <w:t>台服务器授权</w:t>
            </w:r>
            <w:r>
              <w:rPr>
                <w:rFonts w:ascii="宋体" w:hAnsi="宋体" w:cs="宋体"/>
                <w:kern w:val="0"/>
                <w:szCs w:val="18"/>
                <w:lang w:eastAsia="zh-Hans"/>
              </w:rPr>
              <w:t>（</w:t>
            </w:r>
            <w:r>
              <w:rPr>
                <w:rFonts w:hint="eastAsia" w:ascii="宋体" w:hAnsi="宋体" w:cs="宋体"/>
                <w:kern w:val="0"/>
                <w:szCs w:val="18"/>
                <w:lang w:eastAsia="zh-Hans"/>
              </w:rPr>
              <w:t>不限制windows</w:t>
            </w:r>
            <w:r>
              <w:rPr>
                <w:rFonts w:ascii="宋体" w:hAnsi="宋体" w:cs="宋体"/>
                <w:kern w:val="0"/>
                <w:szCs w:val="18"/>
                <w:lang w:eastAsia="zh-Hans"/>
              </w:rPr>
              <w:t xml:space="preserve"> </w:t>
            </w:r>
            <w:r>
              <w:rPr>
                <w:rFonts w:hint="eastAsia" w:ascii="宋体" w:hAnsi="宋体" w:cs="宋体"/>
                <w:kern w:val="0"/>
                <w:szCs w:val="18"/>
                <w:lang w:eastAsia="zh-Hans"/>
              </w:rPr>
              <w:t>server和linux系统</w:t>
            </w:r>
            <w:r>
              <w:rPr>
                <w:rFonts w:ascii="宋体" w:hAnsi="宋体" w:cs="宋体"/>
                <w:kern w:val="0"/>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41" w:type="dxa"/>
            <w:vAlign w:val="center"/>
          </w:tcPr>
          <w:p>
            <w:pPr>
              <w:numPr>
                <w:ilvl w:val="0"/>
                <w:numId w:val="5"/>
              </w:numPr>
              <w:spacing w:before="100" w:beforeAutospacing="1" w:after="100" w:afterAutospacing="1"/>
              <w:jc w:val="center"/>
              <w:rPr>
                <w:rFonts w:ascii="宋体" w:hAnsi="宋体" w:cs="宋体"/>
                <w:b/>
                <w:bCs/>
                <w:kern w:val="0"/>
                <w:szCs w:val="18"/>
                <w:lang w:eastAsia="zh-Hans"/>
              </w:rPr>
            </w:pPr>
          </w:p>
        </w:tc>
        <w:tc>
          <w:tcPr>
            <w:tcW w:w="1921" w:type="dxa"/>
            <w:vAlign w:val="center"/>
          </w:tcPr>
          <w:p>
            <w:pPr>
              <w:jc w:val="center"/>
              <w:rPr>
                <w:rFonts w:ascii="宋体" w:hAnsi="宋体" w:cs="宋体"/>
                <w:b/>
                <w:bCs/>
                <w:kern w:val="0"/>
                <w:szCs w:val="18"/>
                <w:lang w:eastAsia="zh-Hans"/>
              </w:rPr>
            </w:pPr>
            <w:r>
              <w:rPr>
                <w:rFonts w:hint="eastAsia" w:ascii="宋体" w:hAnsi="宋体" w:cs="宋体"/>
                <w:b/>
                <w:bCs/>
                <w:kern w:val="0"/>
                <w:szCs w:val="18"/>
                <w:lang w:eastAsia="zh-Hans"/>
              </w:rPr>
              <w:t>架构及部署要求</w:t>
            </w:r>
          </w:p>
        </w:tc>
        <w:tc>
          <w:tcPr>
            <w:tcW w:w="6631" w:type="dxa"/>
            <w:vAlign w:val="center"/>
          </w:tcPr>
          <w:p>
            <w:pPr>
              <w:widowControl/>
              <w:rPr>
                <w:rFonts w:ascii="宋体" w:hAnsi="宋体" w:cs="宋体"/>
                <w:kern w:val="0"/>
                <w:szCs w:val="18"/>
                <w:lang w:eastAsia="zh-Hans"/>
              </w:rPr>
            </w:pPr>
            <w:r>
              <w:rPr>
                <w:rFonts w:hint="eastAsia" w:ascii="宋体" w:hAnsi="宋体" w:cs="宋体"/>
                <w:kern w:val="0"/>
                <w:szCs w:val="18"/>
                <w:lang w:eastAsia="zh-Hans"/>
              </w:rPr>
              <w:t>控制中心</w:t>
            </w:r>
            <w:r>
              <w:rPr>
                <w:rFonts w:hint="eastAsia" w:ascii="宋体" w:hAnsi="宋体" w:cs="宋体"/>
                <w:kern w:val="0"/>
                <w:szCs w:val="18"/>
              </w:rPr>
              <w:t>需要支持B</w:t>
            </w:r>
            <w:r>
              <w:rPr>
                <w:rFonts w:ascii="宋体" w:hAnsi="宋体" w:cs="宋体"/>
                <w:kern w:val="0"/>
                <w:szCs w:val="18"/>
              </w:rPr>
              <w:t>/S</w:t>
            </w:r>
            <w:r>
              <w:rPr>
                <w:rFonts w:hint="eastAsia" w:ascii="宋体" w:hAnsi="宋体" w:cs="宋体"/>
                <w:kern w:val="0"/>
                <w:szCs w:val="18"/>
              </w:rPr>
              <w:t>架构，管理员可只通过浏览器登录控制中心，即可对系统进行管理</w:t>
            </w:r>
            <w:r>
              <w:rPr>
                <w:rFonts w:ascii="宋体" w:hAnsi="宋体" w:cs="宋体"/>
                <w:kern w:val="0"/>
                <w:szCs w:val="18"/>
              </w:rPr>
              <w:t>；</w:t>
            </w:r>
            <w:r>
              <w:rPr>
                <w:rFonts w:hint="eastAsia" w:ascii="宋体" w:hAnsi="宋体" w:cs="宋体"/>
                <w:kern w:val="0"/>
                <w:szCs w:val="18"/>
                <w:lang w:eastAsia="zh-Hans"/>
              </w:rPr>
              <w:t>终端采取轻</w:t>
            </w:r>
            <w:r>
              <w:rPr>
                <w:rFonts w:hint="eastAsia" w:ascii="宋体" w:hAnsi="宋体" w:cs="宋体"/>
                <w:kern w:val="0"/>
                <w:szCs w:val="18"/>
              </w:rPr>
              <w:t>代理部署模式</w:t>
            </w:r>
            <w:r>
              <w:rPr>
                <w:rFonts w:ascii="宋体" w:hAnsi="宋体" w:cs="宋体"/>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cs="宋体"/>
                <w:b/>
                <w:bCs/>
                <w:kern w:val="0"/>
                <w:szCs w:val="18"/>
              </w:rPr>
            </w:pPr>
          </w:p>
        </w:tc>
        <w:tc>
          <w:tcPr>
            <w:tcW w:w="1921" w:type="dxa"/>
            <w:vAlign w:val="center"/>
          </w:tcPr>
          <w:p>
            <w:pPr>
              <w:jc w:val="center"/>
              <w:rPr>
                <w:rFonts w:ascii="宋体" w:hAnsi="宋体"/>
                <w:b/>
                <w:bCs/>
                <w:szCs w:val="18"/>
              </w:rPr>
            </w:pPr>
            <w:r>
              <w:rPr>
                <w:rFonts w:hint="eastAsia" w:cs="宋体"/>
                <w:color w:val="000000"/>
                <w:kern w:val="28"/>
              </w:rPr>
              <w:t>★</w:t>
            </w:r>
            <w:r>
              <w:rPr>
                <w:rFonts w:hint="eastAsia" w:ascii="宋体" w:hAnsi="宋体" w:cs="宋体"/>
                <w:b/>
                <w:bCs/>
                <w:kern w:val="0"/>
                <w:szCs w:val="18"/>
              </w:rPr>
              <w:t>操作系统兼容性</w:t>
            </w:r>
          </w:p>
        </w:tc>
        <w:tc>
          <w:tcPr>
            <w:tcW w:w="6631" w:type="dxa"/>
            <w:vAlign w:val="center"/>
          </w:tcPr>
          <w:p>
            <w:pPr>
              <w:widowControl/>
              <w:rPr>
                <w:rFonts w:hint="eastAsia" w:ascii="宋体" w:hAnsi="宋体" w:eastAsia="宋体" w:cs="宋体"/>
                <w:kern w:val="0"/>
                <w:szCs w:val="18"/>
                <w:lang w:eastAsia="zh-CN"/>
              </w:rPr>
            </w:pPr>
            <w:r>
              <w:rPr>
                <w:rFonts w:hint="eastAsia" w:ascii="宋体" w:hAnsi="宋体" w:cs="宋体"/>
                <w:kern w:val="0"/>
                <w:szCs w:val="18"/>
              </w:rPr>
              <w:t>支持</w:t>
            </w:r>
            <w:r>
              <w:rPr>
                <w:rFonts w:ascii="宋体" w:hAnsi="宋体" w:cs="宋体"/>
                <w:kern w:val="0"/>
                <w:szCs w:val="18"/>
              </w:rPr>
              <w:t>windows/linux主流操作系统</w:t>
            </w:r>
            <w:r>
              <w:rPr>
                <w:rFonts w:hint="eastAsia" w:ascii="宋体" w:hAnsi="宋体" w:cs="宋体"/>
                <w:kern w:val="0"/>
                <w:szCs w:val="18"/>
              </w:rPr>
              <w:t>，包括</w:t>
            </w:r>
            <w:r>
              <w:rPr>
                <w:rFonts w:ascii="宋体" w:hAnsi="宋体" w:cs="宋体"/>
                <w:kern w:val="0"/>
                <w:szCs w:val="18"/>
              </w:rPr>
              <w:t>但不限于</w:t>
            </w:r>
            <w:r>
              <w:rPr>
                <w:rFonts w:hint="eastAsia" w:ascii="宋体" w:hAnsi="宋体" w:cs="宋体"/>
                <w:kern w:val="0"/>
                <w:szCs w:val="18"/>
              </w:rPr>
              <w:t>以下的操作系统：Windows Server 2003 SP2（x86/x64）、Windows Server 2008（x86/x64）、Windows Server 2012、Windows Server 2016、Windows Server 2019；</w:t>
            </w:r>
          </w:p>
          <w:p>
            <w:pPr>
              <w:widowControl/>
              <w:rPr>
                <w:rFonts w:hint="eastAsia" w:ascii="宋体" w:hAnsi="宋体" w:eastAsia="宋体" w:cs="宋体"/>
                <w:kern w:val="0"/>
                <w:szCs w:val="18"/>
                <w:lang w:eastAsia="zh-CN"/>
              </w:rPr>
            </w:pPr>
            <w:r>
              <w:rPr>
                <w:rFonts w:hint="eastAsia" w:ascii="宋体" w:hAnsi="宋体" w:cs="宋体"/>
                <w:kern w:val="0"/>
                <w:szCs w:val="18"/>
              </w:rPr>
              <w:t>RedHat 4.3~RedHat 5.11（x86/x64）、RedHat 6.0~RedHat 6.7（x86/x64）、RedHat 7.0~RedHat 7.2 RedHat8.0 ；</w:t>
            </w:r>
          </w:p>
          <w:p>
            <w:pPr>
              <w:widowControl/>
              <w:rPr>
                <w:rFonts w:hint="eastAsia" w:ascii="宋体" w:hAnsi="宋体" w:eastAsia="宋体" w:cs="宋体"/>
                <w:kern w:val="0"/>
                <w:szCs w:val="18"/>
                <w:lang w:eastAsia="zh-CN"/>
              </w:rPr>
            </w:pPr>
            <w:r>
              <w:rPr>
                <w:rFonts w:hint="eastAsia" w:ascii="宋体" w:hAnsi="宋体" w:cs="宋体"/>
                <w:kern w:val="0"/>
                <w:szCs w:val="18"/>
              </w:rPr>
              <w:t>CentOS 4.3~CentOS 5.11（x86/x64）、CentOS 6.0~CentOS 6.10（x86/x64）、CentOS 7.0~CentOS 7.6、Centos8.0；</w:t>
            </w:r>
          </w:p>
          <w:p>
            <w:pPr>
              <w:widowControl/>
              <w:rPr>
                <w:rFonts w:hint="eastAsia" w:ascii="宋体" w:hAnsi="宋体" w:eastAsia="宋体" w:cs="宋体"/>
                <w:kern w:val="0"/>
                <w:szCs w:val="18"/>
                <w:lang w:eastAsia="zh-CN"/>
              </w:rPr>
            </w:pPr>
            <w:r>
              <w:rPr>
                <w:rFonts w:hint="eastAsia" w:ascii="宋体" w:hAnsi="宋体" w:cs="宋体"/>
                <w:kern w:val="0"/>
                <w:szCs w:val="18"/>
              </w:rPr>
              <w:t>Ubuntu10.0以上；</w:t>
            </w:r>
          </w:p>
          <w:p>
            <w:pPr>
              <w:widowControl/>
              <w:rPr>
                <w:rFonts w:ascii="宋体" w:hAnsi="宋体" w:cs="宋体"/>
                <w:kern w:val="0"/>
                <w:szCs w:val="18"/>
              </w:rPr>
            </w:pPr>
            <w:r>
              <w:rPr>
                <w:rFonts w:hint="eastAsia" w:ascii="宋体" w:hAnsi="宋体" w:cs="宋体"/>
                <w:kern w:val="0"/>
                <w:szCs w:val="18"/>
              </w:rPr>
              <w:t>Suse 10~Suse 10 sp3、Suse 11~Suse 11 sp3、Suse12；中标麒麟、红旗Redflag3~4；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41" w:type="dxa"/>
            <w:vAlign w:val="center"/>
          </w:tcPr>
          <w:p>
            <w:pPr>
              <w:numPr>
                <w:ilvl w:val="0"/>
                <w:numId w:val="5"/>
              </w:numPr>
              <w:spacing w:before="100" w:beforeAutospacing="1" w:after="100" w:afterAutospacing="1"/>
              <w:jc w:val="center"/>
              <w:rPr>
                <w:rFonts w:ascii="宋体" w:hAnsi="宋体" w:cs="宋体"/>
                <w:b/>
                <w:bCs/>
                <w:kern w:val="0"/>
                <w:szCs w:val="18"/>
              </w:rPr>
            </w:pPr>
          </w:p>
        </w:tc>
        <w:tc>
          <w:tcPr>
            <w:tcW w:w="1921" w:type="dxa"/>
            <w:vMerge w:val="restart"/>
            <w:vAlign w:val="center"/>
          </w:tcPr>
          <w:p>
            <w:pPr>
              <w:jc w:val="center"/>
              <w:rPr>
                <w:rFonts w:ascii="宋体" w:hAnsi="宋体" w:cs="宋体"/>
                <w:b/>
                <w:bCs/>
                <w:kern w:val="0"/>
                <w:szCs w:val="18"/>
              </w:rPr>
            </w:pPr>
            <w:r>
              <w:rPr>
                <w:rFonts w:hint="eastAsia" w:ascii="宋体" w:hAnsi="宋体" w:cs="宋体"/>
                <w:b/>
                <w:bCs/>
                <w:kern w:val="0"/>
                <w:szCs w:val="18"/>
              </w:rPr>
              <w:t>产品安全机制</w:t>
            </w:r>
          </w:p>
        </w:tc>
        <w:tc>
          <w:tcPr>
            <w:tcW w:w="6631" w:type="dxa"/>
            <w:vAlign w:val="center"/>
          </w:tcPr>
          <w:p>
            <w:pPr>
              <w:widowControl/>
              <w:rPr>
                <w:rFonts w:ascii="宋体" w:hAnsi="宋体" w:cs="宋体"/>
                <w:kern w:val="0"/>
                <w:szCs w:val="18"/>
              </w:rPr>
            </w:pPr>
            <w:r>
              <w:rPr>
                <w:rFonts w:hint="eastAsia" w:ascii="宋体" w:hAnsi="宋体" w:cs="宋体"/>
                <w:kern w:val="0"/>
                <w:szCs w:val="18"/>
              </w:rPr>
              <w:t>客户端具有反逆向、反调试功能、自保护功能，客户端和管理中心通信采用安全的加密机制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41" w:type="dxa"/>
            <w:vAlign w:val="center"/>
          </w:tcPr>
          <w:p>
            <w:pPr>
              <w:numPr>
                <w:ilvl w:val="0"/>
                <w:numId w:val="5"/>
              </w:numPr>
              <w:spacing w:before="100" w:beforeAutospacing="1" w:after="100" w:afterAutospacing="1"/>
              <w:jc w:val="center"/>
              <w:rPr>
                <w:rFonts w:ascii="宋体" w:hAnsi="宋体" w:cs="宋体"/>
                <w:b/>
                <w:bCs/>
                <w:kern w:val="0"/>
              </w:rPr>
            </w:pPr>
          </w:p>
        </w:tc>
        <w:tc>
          <w:tcPr>
            <w:tcW w:w="1921" w:type="dxa"/>
            <w:vMerge w:val="continue"/>
            <w:vAlign w:val="center"/>
          </w:tcPr>
          <w:p>
            <w:pPr>
              <w:jc w:val="center"/>
              <w:rPr>
                <w:rFonts w:ascii="宋体" w:hAnsi="宋体" w:cs="宋体"/>
                <w:b/>
                <w:bCs/>
                <w:kern w:val="0"/>
              </w:rPr>
            </w:pPr>
          </w:p>
        </w:tc>
        <w:tc>
          <w:tcPr>
            <w:tcW w:w="6631" w:type="dxa"/>
            <w:vAlign w:val="center"/>
          </w:tcPr>
          <w:p>
            <w:pPr>
              <w:widowControl/>
              <w:rPr>
                <w:rFonts w:ascii="宋体" w:hAnsi="宋体" w:cs="宋体"/>
                <w:kern w:val="0"/>
                <w:szCs w:val="18"/>
              </w:rPr>
            </w:pPr>
            <w:r>
              <w:rPr>
                <w:rFonts w:hint="eastAsia" w:cs="宋体"/>
                <w:color w:val="000000"/>
                <w:kern w:val="28"/>
              </w:rPr>
              <w:t>★</w:t>
            </w:r>
            <w:r>
              <w:rPr>
                <w:rFonts w:hint="eastAsia" w:ascii="宋体" w:hAnsi="宋体" w:cs="宋体"/>
                <w:kern w:val="0"/>
                <w:szCs w:val="18"/>
              </w:rPr>
              <w:t>支持自我防护技术，即使客户端被意外关闭，防护依然有效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restart"/>
            <w:vAlign w:val="center"/>
          </w:tcPr>
          <w:p>
            <w:pPr>
              <w:jc w:val="center"/>
              <w:rPr>
                <w:rFonts w:ascii="宋体" w:hAnsi="宋体"/>
                <w:b/>
                <w:bCs/>
                <w:szCs w:val="18"/>
              </w:rPr>
            </w:pPr>
            <w:r>
              <w:rPr>
                <w:rFonts w:hint="eastAsia" w:cs="宋体"/>
                <w:color w:val="000000"/>
                <w:kern w:val="28"/>
              </w:rPr>
              <w:t>★</w:t>
            </w:r>
            <w:r>
              <w:rPr>
                <w:rFonts w:hint="eastAsia" w:ascii="宋体" w:hAnsi="宋体"/>
                <w:b/>
                <w:bCs/>
                <w:szCs w:val="18"/>
              </w:rPr>
              <w:t>病毒</w:t>
            </w:r>
            <w:r>
              <w:rPr>
                <w:rFonts w:hint="eastAsia" w:ascii="宋体" w:hAnsi="宋体"/>
                <w:b/>
                <w:bCs/>
                <w:szCs w:val="18"/>
                <w:lang w:eastAsia="zh-Hans"/>
              </w:rPr>
              <w:t>防护</w:t>
            </w:r>
          </w:p>
        </w:tc>
        <w:tc>
          <w:tcPr>
            <w:tcW w:w="6631" w:type="dxa"/>
          </w:tcPr>
          <w:p>
            <w:pPr>
              <w:rPr>
                <w:rFonts w:ascii="宋体" w:hAnsi="宋体"/>
                <w:szCs w:val="18"/>
              </w:rPr>
            </w:pPr>
            <w:r>
              <w:rPr>
                <w:rFonts w:hint="eastAsia" w:ascii="宋体" w:hAnsi="宋体"/>
                <w:szCs w:val="18"/>
                <w:lang w:eastAsia="zh-Hans"/>
              </w:rPr>
              <w:t>支持</w:t>
            </w:r>
            <w:r>
              <w:rPr>
                <w:rFonts w:hint="eastAsia" w:ascii="宋体" w:hAnsi="宋体"/>
                <w:szCs w:val="18"/>
              </w:rPr>
              <w:t>采用主动的方式进行自动化病毒查杀，可支持Bitdefender、ClamAV、Qowl等多引擎技术识别并查杀最新病毒</w:t>
            </w:r>
            <w:r>
              <w:rPr>
                <w:rFonts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采用管理中心统一查杀模式，对服务器性能几乎无影响。避免本地扫描可能发生的性能风暴问题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查杀引擎对全网服务器进行实时检测，支持勒索，蠕虫，挖矿，木马，后门，黑客工具，僵尸程序等多种类型的病毒检测</w:t>
            </w:r>
            <w:r>
              <w:rPr>
                <w:rFonts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lang w:eastAsia="zh-Hans"/>
              </w:rPr>
              <w:t>支持</w:t>
            </w:r>
            <w:r>
              <w:rPr>
                <w:rFonts w:hint="eastAsia" w:ascii="宋体" w:hAnsi="宋体"/>
                <w:szCs w:val="18"/>
              </w:rPr>
              <w:t>提供查看病毒文件静态信息，动态信息查看</w:t>
            </w:r>
            <w:r>
              <w:rPr>
                <w:rFonts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支持病毒文件自动隔离、自动删除、下载</w:t>
            </w:r>
            <w:r>
              <w:rPr>
                <w:rFonts w:ascii="宋体" w:hAnsi="宋体"/>
                <w:szCs w:val="18"/>
              </w:rPr>
              <w:t>、</w:t>
            </w:r>
            <w:r>
              <w:rPr>
                <w:rFonts w:hint="eastAsia" w:ascii="宋体" w:hAnsi="宋体"/>
                <w:szCs w:val="18"/>
                <w:lang w:eastAsia="zh-Hans"/>
              </w:rPr>
              <w:t>不处理</w:t>
            </w:r>
            <w:r>
              <w:rPr>
                <w:rFonts w:hint="eastAsia" w:ascii="宋体" w:hAnsi="宋体"/>
                <w:szCs w:val="18"/>
              </w:rPr>
              <w:t>等多种处理方式。支持对特定服务器进行自定义扫描</w:t>
            </w:r>
            <w:r>
              <w:rPr>
                <w:rFonts w:ascii="宋体" w:hAnsi="宋体"/>
                <w:szCs w:val="18"/>
              </w:rPr>
              <w:t>，</w:t>
            </w:r>
            <w:r>
              <w:rPr>
                <w:rFonts w:hint="eastAsia" w:ascii="宋体" w:hAnsi="宋体"/>
                <w:szCs w:val="18"/>
                <w:lang w:eastAsia="zh-Hans"/>
              </w:rPr>
              <w:t>并可将病毒查杀的结果到处报告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威胁总览</w:t>
            </w:r>
          </w:p>
        </w:tc>
        <w:tc>
          <w:tcPr>
            <w:tcW w:w="6631" w:type="dxa"/>
          </w:tcPr>
          <w:p>
            <w:pPr>
              <w:rPr>
                <w:rFonts w:ascii="宋体" w:hAnsi="宋体"/>
                <w:szCs w:val="18"/>
              </w:rPr>
            </w:pPr>
            <w:r>
              <w:rPr>
                <w:rFonts w:hint="eastAsia" w:ascii="宋体" w:hAnsi="宋体"/>
                <w:szCs w:val="18"/>
              </w:rPr>
              <w:t>支持统计并展示服务器的可疑威胁及告警信息，包括：可疑威胁事件统计、可疑威胁分布、可疑问些趋势，以及具体的威胁事件列表，并可对威胁事件进行研判，还可将威胁事件导出为EXCEL格式的报告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防恶意扫描</w:t>
            </w:r>
          </w:p>
        </w:tc>
        <w:tc>
          <w:tcPr>
            <w:tcW w:w="6631" w:type="dxa"/>
          </w:tcPr>
          <w:p>
            <w:pPr>
              <w:rPr>
                <w:rFonts w:ascii="宋体" w:hAnsi="宋体"/>
                <w:szCs w:val="18"/>
              </w:rPr>
            </w:pPr>
            <w:r>
              <w:rPr>
                <w:rFonts w:hint="eastAsia" w:ascii="宋体" w:hAnsi="宋体"/>
                <w:szCs w:val="18"/>
              </w:rPr>
              <w:t>以攻击者视角、受害者视角展示恶意扫描的事件，包括：服务器名称、负责人、所属部门、操作地址、最近发生时间、受害IP、攻击IP等信息，并可将事件加入黑名单或白名单，还可对受害的IP进行防端口扫描、屏蔽扫描器等设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暴力破解检测</w:t>
            </w:r>
          </w:p>
        </w:tc>
        <w:tc>
          <w:tcPr>
            <w:tcW w:w="6631" w:type="dxa"/>
          </w:tcPr>
          <w:p>
            <w:pPr>
              <w:rPr>
                <w:rFonts w:ascii="宋体" w:hAnsi="宋体"/>
                <w:szCs w:val="18"/>
              </w:rPr>
            </w:pPr>
            <w:r>
              <w:rPr>
                <w:rFonts w:hint="eastAsia" w:ascii="宋体" w:hAnsi="宋体"/>
                <w:szCs w:val="18"/>
              </w:rPr>
              <w:t>对暴力登录系统的账号和IP进行自动发现并上报暴力破解入侵事件，支持对RDP、SSH、FTP等服务的暴力破解行为进行检测拦截，支持设定暴力破解行为的请求范围、失败次数，针对暴力破解的IP支持设定锁定时长。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异常登陆监测</w:t>
            </w:r>
          </w:p>
        </w:tc>
        <w:tc>
          <w:tcPr>
            <w:tcW w:w="6631" w:type="dxa"/>
          </w:tcPr>
          <w:p>
            <w:pPr>
              <w:rPr>
                <w:rFonts w:ascii="宋体" w:hAnsi="宋体"/>
                <w:szCs w:val="18"/>
              </w:rPr>
            </w:pPr>
            <w:r>
              <w:rPr>
                <w:rFonts w:hint="eastAsia" w:ascii="宋体" w:hAnsi="宋体"/>
                <w:szCs w:val="18"/>
              </w:rPr>
              <w:t>以违规登录、可疑登录的视角，对异常登录行为进行监控及告警，包括：登录账号、来源IP、登录区域、服务器IP、操作系统等，并可进行登陆规则的设置，以及告警设置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后门检测</w:t>
            </w:r>
          </w:p>
        </w:tc>
        <w:tc>
          <w:tcPr>
            <w:tcW w:w="6631" w:type="dxa"/>
          </w:tcPr>
          <w:p>
            <w:pPr>
              <w:rPr>
                <w:rFonts w:ascii="宋体" w:hAnsi="宋体"/>
                <w:szCs w:val="18"/>
              </w:rPr>
            </w:pPr>
            <w:r>
              <w:rPr>
                <w:rFonts w:hint="eastAsia" w:ascii="宋体" w:hAnsi="宋体"/>
                <w:szCs w:val="18"/>
              </w:rPr>
              <w:t>支持对操作系统、文件、软件中存在的后门进行检测，包括：发现时间、后门名称、后门类型、风险等级、服务器名称、服务器IP、操作系统等，并可进行隔离、删除、加白、下载等操作，并提供后门的详情信息</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W</w:t>
            </w:r>
            <w:r>
              <w:rPr>
                <w:rFonts w:ascii="宋体" w:hAnsi="宋体"/>
                <w:b/>
                <w:bCs/>
                <w:szCs w:val="18"/>
              </w:rPr>
              <w:t>ebshell</w:t>
            </w:r>
            <w:r>
              <w:rPr>
                <w:rFonts w:hint="eastAsia" w:ascii="宋体" w:hAnsi="宋体"/>
                <w:b/>
                <w:bCs/>
                <w:szCs w:val="18"/>
              </w:rPr>
              <w:t>检测</w:t>
            </w:r>
          </w:p>
        </w:tc>
        <w:tc>
          <w:tcPr>
            <w:tcW w:w="6631" w:type="dxa"/>
          </w:tcPr>
          <w:p>
            <w:pPr>
              <w:rPr>
                <w:rFonts w:ascii="宋体" w:hAnsi="宋体"/>
                <w:szCs w:val="18"/>
              </w:rPr>
            </w:pPr>
            <w:r>
              <w:rPr>
                <w:rFonts w:hint="eastAsia" w:ascii="宋体" w:hAnsi="宋体"/>
                <w:szCs w:val="18"/>
              </w:rPr>
              <w:t>自动识别web服务目录，并实时进行webshell后门的扫描，包括：危险级别、文件路径、文件代销、文件MD5、文件修改时间、webshell发现时间、感染服务器等信息。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反弹s</w:t>
            </w:r>
            <w:r>
              <w:rPr>
                <w:rFonts w:ascii="宋体" w:hAnsi="宋体"/>
                <w:b/>
                <w:bCs/>
                <w:szCs w:val="18"/>
              </w:rPr>
              <w:t>hell</w:t>
            </w:r>
            <w:r>
              <w:rPr>
                <w:rFonts w:hint="eastAsia" w:ascii="宋体" w:hAnsi="宋体"/>
                <w:b/>
                <w:bCs/>
                <w:szCs w:val="18"/>
              </w:rPr>
              <w:t>检测</w:t>
            </w:r>
          </w:p>
        </w:tc>
        <w:tc>
          <w:tcPr>
            <w:tcW w:w="6631" w:type="dxa"/>
          </w:tcPr>
          <w:p>
            <w:pPr>
              <w:rPr>
                <w:rFonts w:ascii="宋体" w:cs="宋体"/>
                <w:kern w:val="0"/>
                <w:szCs w:val="24"/>
              </w:rPr>
            </w:pPr>
            <w:r>
              <w:rPr>
                <w:rFonts w:hint="eastAsia" w:ascii="宋体" w:hAnsi="宋体"/>
                <w:szCs w:val="18"/>
              </w:rPr>
              <w:t>可实时发现反弹shell等危险的反链操作风险，包括：发起连接主机、服务器名称、服务器别名、AgentID、服务器IP、操作系统等信息，并支持事件的上报和阻断。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szCs w:val="18"/>
              </w:rPr>
            </w:pPr>
            <w:r>
              <w:rPr>
                <w:rFonts w:hint="eastAsia" w:ascii="宋体" w:hAnsi="宋体"/>
                <w:b/>
                <w:bCs/>
                <w:szCs w:val="18"/>
              </w:rPr>
              <w:t>本地提权监测</w:t>
            </w:r>
          </w:p>
        </w:tc>
        <w:tc>
          <w:tcPr>
            <w:tcW w:w="6631" w:type="dxa"/>
          </w:tcPr>
          <w:p>
            <w:pPr>
              <w:rPr>
                <w:rFonts w:ascii="宋体" w:hAnsi="宋体"/>
                <w:szCs w:val="18"/>
              </w:rPr>
            </w:pPr>
            <w:r>
              <w:rPr>
                <w:rFonts w:hint="eastAsia" w:ascii="宋体" w:hAnsi="宋体"/>
                <w:szCs w:val="18"/>
              </w:rPr>
              <w:t>基于进程运行态权限属性，判断进程是否有提权行为，并对提权行为进行上报。</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无文件攻击监测</w:t>
            </w:r>
          </w:p>
        </w:tc>
        <w:tc>
          <w:tcPr>
            <w:tcW w:w="6631" w:type="dxa"/>
          </w:tcPr>
          <w:p>
            <w:pPr>
              <w:rPr>
                <w:rFonts w:ascii="宋体" w:hAnsi="宋体"/>
                <w:szCs w:val="18"/>
              </w:rPr>
            </w:pPr>
            <w:r>
              <w:rPr>
                <w:rFonts w:hint="eastAsia" w:ascii="宋体" w:hAnsi="宋体"/>
                <w:szCs w:val="18"/>
              </w:rPr>
              <w:t>可通过无文件攻击检测引擎，对多种系统高危应用进行实时监控，实时监控服务器上发生的无文件攻击事件。及时告警，以便用户快速处置。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R</w:t>
            </w:r>
            <w:r>
              <w:rPr>
                <w:rFonts w:ascii="宋体" w:hAnsi="宋体"/>
                <w:b/>
                <w:bCs/>
                <w:szCs w:val="18"/>
              </w:rPr>
              <w:t>CE</w:t>
            </w:r>
            <w:r>
              <w:rPr>
                <w:rFonts w:hint="eastAsia" w:ascii="宋体" w:hAnsi="宋体"/>
                <w:b/>
                <w:bCs/>
                <w:szCs w:val="18"/>
              </w:rPr>
              <w:t>利用</w:t>
            </w:r>
            <w:r>
              <w:rPr>
                <w:rFonts w:hint="eastAsia" w:ascii="宋体" w:hAnsi="宋体"/>
                <w:b/>
                <w:bCs/>
                <w:szCs w:val="18"/>
                <w:lang w:eastAsia="zh-Hans"/>
              </w:rPr>
              <w:t>行为</w:t>
            </w:r>
            <w:r>
              <w:rPr>
                <w:rFonts w:hint="eastAsia" w:ascii="宋体" w:hAnsi="宋体"/>
                <w:b/>
                <w:bCs/>
                <w:szCs w:val="18"/>
              </w:rPr>
              <w:t>分析</w:t>
            </w:r>
          </w:p>
        </w:tc>
        <w:tc>
          <w:tcPr>
            <w:tcW w:w="6631" w:type="dxa"/>
          </w:tcPr>
          <w:p>
            <w:pPr>
              <w:rPr>
                <w:rFonts w:ascii="宋体" w:hAnsi="宋体"/>
                <w:szCs w:val="18"/>
              </w:rPr>
            </w:pPr>
            <w:r>
              <w:rPr>
                <w:rFonts w:hint="eastAsia" w:ascii="宋体" w:cs="宋体"/>
                <w:kern w:val="0"/>
                <w:szCs w:val="24"/>
              </w:rPr>
              <w:t>可</w:t>
            </w:r>
            <w:r>
              <w:rPr>
                <w:rFonts w:hint="eastAsia" w:ascii="宋体" w:hAnsi="宋体"/>
                <w:szCs w:val="18"/>
              </w:rPr>
              <w:t>基于行为分析，检测对外服务的远程命令执行漏洞利用行为，实现实时告警和追溯。</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攻击溯源分析</w:t>
            </w:r>
          </w:p>
        </w:tc>
        <w:tc>
          <w:tcPr>
            <w:tcW w:w="6631" w:type="dxa"/>
          </w:tcPr>
          <w:p>
            <w:pPr>
              <w:rPr>
                <w:rFonts w:ascii="宋体" w:hAnsi="宋体"/>
                <w:szCs w:val="18"/>
              </w:rPr>
            </w:pPr>
            <w:r>
              <w:rPr>
                <w:rFonts w:ascii="Arial" w:hAnsi="Arial" w:cs="Arial"/>
                <w:kern w:val="0"/>
                <w:szCs w:val="24"/>
              </w:rPr>
              <w:t>▲</w:t>
            </w:r>
            <w:r>
              <w:rPr>
                <w:rFonts w:hint="eastAsia" w:ascii="宋体" w:hAnsi="宋体"/>
                <w:szCs w:val="18"/>
              </w:rPr>
              <w:t>支持记录当前所有服务器产生的事件日志，并提供筛选的功能和自定义时间段筛选查询，用户可通过安全日志快速锁定问题服务器，并进行相应处理。同时支持对安全事件进行溯源分析，对安全事件的等级、攻击类型、A</w:t>
            </w:r>
            <w:r>
              <w:rPr>
                <w:rFonts w:ascii="宋体" w:hAnsi="宋体"/>
                <w:szCs w:val="18"/>
              </w:rPr>
              <w:t>TT&amp;CK ID</w:t>
            </w:r>
            <w:r>
              <w:rPr>
                <w:rFonts w:hint="eastAsia" w:ascii="宋体" w:hAnsi="宋体"/>
                <w:szCs w:val="18"/>
              </w:rPr>
              <w:t>、A</w:t>
            </w:r>
            <w:r>
              <w:rPr>
                <w:rFonts w:ascii="宋体" w:hAnsi="宋体"/>
                <w:szCs w:val="18"/>
              </w:rPr>
              <w:t>TT</w:t>
            </w:r>
            <w:r>
              <w:rPr>
                <w:rFonts w:hint="eastAsia" w:ascii="宋体" w:hAnsi="宋体"/>
                <w:szCs w:val="18"/>
              </w:rPr>
              <w:t>攻击阶段进行匹配。</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restart"/>
            <w:vAlign w:val="center"/>
          </w:tcPr>
          <w:p>
            <w:pPr>
              <w:jc w:val="center"/>
              <w:rPr>
                <w:rFonts w:ascii="宋体" w:hAnsi="宋体"/>
                <w:b/>
                <w:bCs/>
                <w:szCs w:val="18"/>
              </w:rPr>
            </w:pPr>
            <w:r>
              <w:rPr>
                <w:rFonts w:hint="eastAsia" w:ascii="宋体" w:hAnsi="宋体"/>
                <w:b/>
                <w:bCs/>
                <w:szCs w:val="18"/>
              </w:rPr>
              <w:t>应用防护</w:t>
            </w:r>
          </w:p>
        </w:tc>
        <w:tc>
          <w:tcPr>
            <w:tcW w:w="6631" w:type="dxa"/>
          </w:tcPr>
          <w:p>
            <w:pPr>
              <w:rPr>
                <w:rFonts w:ascii="宋体" w:hAnsi="宋体"/>
                <w:szCs w:val="18"/>
              </w:rPr>
            </w:pPr>
            <w:r>
              <w:rPr>
                <w:rFonts w:ascii="Arial" w:hAnsi="Arial" w:cs="Arial"/>
                <w:kern w:val="0"/>
                <w:szCs w:val="24"/>
              </w:rPr>
              <w:t>▲</w:t>
            </w:r>
            <w:r>
              <w:rPr>
                <w:rFonts w:hint="eastAsia" w:ascii="宋体" w:hAnsi="宋体"/>
                <w:szCs w:val="18"/>
              </w:rPr>
              <w:t>支持应用高级防护的设置，可有效拦截未知WebShell,及时发现网站程序中存在的漏洞并支持Java类Web的防护。包括：未知WebShell实时防护、未知SQL注入漏洞防护、未知上传漏洞防护、Struts2漏洞防护、反序列化漏洞防护、任意文件读取漏洞防护、命令执行漏洞防护等设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cs="宋体"/>
                <w:kern w:val="0"/>
                <w:szCs w:val="24"/>
              </w:rPr>
            </w:pPr>
            <w:r>
              <w:rPr>
                <w:rFonts w:ascii="宋体" w:hAnsi="宋体"/>
                <w:szCs w:val="18"/>
              </w:rPr>
              <w:t>▲</w:t>
            </w:r>
            <w:r>
              <w:rPr>
                <w:rFonts w:hint="eastAsia" w:ascii="宋体" w:hAnsi="宋体"/>
                <w:szCs w:val="18"/>
              </w:rPr>
              <w:t>支持RASP（Runtime Application Self Protection）运行时应用自我保护技术，可对ASP、.Net、PHP、Java四种语言进行RASP防护，通过对应用系统流量、上下文、行为进行持续监控，有效抵御一句话木马、变形/未活动/加密Webshell、SQL注入、命令执行、文件上传、任意文件读写、反序列化、Struts2漏洞等高级Web应用攻击</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ascii="Arial" w:hAnsi="Arial" w:cs="Arial"/>
                <w:kern w:val="0"/>
                <w:szCs w:val="24"/>
              </w:rPr>
              <w:t>▲</w:t>
            </w:r>
            <w:r>
              <w:rPr>
                <w:rFonts w:hint="eastAsia" w:ascii="宋体" w:hAnsi="宋体"/>
                <w:szCs w:val="18"/>
              </w:rPr>
              <w:t>支持对应用漏洞防护的设置，可有效拦截各类WEB入侵，包括：SQL注入类、XSS防护、Web服务器溢出攻击防护、文件名解析漏洞防护、禁止浏览畸形文件、自动屏蔽扫描器、X-Forwarded-For防护、请求类型控制、禁止下载特定类型文件、网站浏览实时防护、HTTP请求头防护等。同时可对一句话木马利用工具进行防护，包括：ASP、PHP、ASPX等语言，并可禁止使用PHP://inpu、禁止使用PHP://fillter，以及SVN信息保护设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系统防护加固</w:t>
            </w:r>
          </w:p>
        </w:tc>
        <w:tc>
          <w:tcPr>
            <w:tcW w:w="6631" w:type="dxa"/>
          </w:tcPr>
          <w:p>
            <w:pPr>
              <w:rPr>
                <w:rFonts w:ascii="宋体" w:hAnsi="宋体"/>
                <w:szCs w:val="18"/>
              </w:rPr>
            </w:pPr>
            <w:r>
              <w:rPr>
                <w:rFonts w:hint="eastAsia" w:ascii="宋体" w:hAnsi="宋体"/>
                <w:szCs w:val="18"/>
              </w:rPr>
              <w:t>支持系统内核加固技术，对非法创建文件、非法更改系统设置、非法创建可执行文件、非法提权等恶意行为进行监控和防护。</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cs="宋体"/>
                <w:color w:val="000000"/>
                <w:kern w:val="28"/>
              </w:rPr>
              <w:t>★</w:t>
            </w:r>
            <w:r>
              <w:rPr>
                <w:rFonts w:hint="eastAsia" w:ascii="宋体" w:hAnsi="宋体"/>
                <w:b/>
                <w:bCs/>
                <w:szCs w:val="18"/>
              </w:rPr>
              <w:t>文件防篡改</w:t>
            </w:r>
          </w:p>
        </w:tc>
        <w:tc>
          <w:tcPr>
            <w:tcW w:w="6631" w:type="dxa"/>
          </w:tcPr>
          <w:p>
            <w:pPr>
              <w:rPr>
                <w:rFonts w:ascii="宋体" w:hAnsi="宋体"/>
                <w:szCs w:val="18"/>
              </w:rPr>
            </w:pPr>
            <w:r>
              <w:rPr>
                <w:rFonts w:hint="eastAsia" w:ascii="宋体" w:hAnsi="宋体"/>
                <w:szCs w:val="18"/>
              </w:rPr>
              <w:t>支持驱动级防篡改，可以保护整个目录、网页或文件不被恶意修改或者变更，支持监控和控制文件读取、写入、删除、链接、创建、执行、重命名等操作，支持对目录、进程进行例外设置。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防端口扫描</w:t>
            </w:r>
          </w:p>
        </w:tc>
        <w:tc>
          <w:tcPr>
            <w:tcW w:w="6631" w:type="dxa"/>
          </w:tcPr>
          <w:p>
            <w:pPr>
              <w:rPr>
                <w:rFonts w:ascii="宋体" w:hAnsi="宋体"/>
                <w:szCs w:val="18"/>
              </w:rPr>
            </w:pPr>
            <w:r>
              <w:rPr>
                <w:rFonts w:ascii="Arial" w:hAnsi="Arial" w:cs="Arial"/>
                <w:kern w:val="0"/>
                <w:szCs w:val="24"/>
              </w:rPr>
              <w:t>▲</w:t>
            </w:r>
            <w:r>
              <w:rPr>
                <w:rFonts w:hint="eastAsia" w:ascii="宋体" w:hAnsi="宋体"/>
                <w:szCs w:val="18"/>
              </w:rPr>
              <w:t>支持检测和防止恶意的端口扫描，并屏蔽扫描器恶意扫描</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restart"/>
            <w:vAlign w:val="center"/>
          </w:tcPr>
          <w:p>
            <w:pPr>
              <w:jc w:val="center"/>
              <w:rPr>
                <w:rFonts w:ascii="宋体" w:hAnsi="宋体"/>
                <w:b/>
                <w:bCs/>
                <w:szCs w:val="18"/>
              </w:rPr>
            </w:pPr>
            <w:r>
              <w:rPr>
                <w:rFonts w:hint="eastAsia" w:ascii="宋体" w:hAnsi="宋体"/>
                <w:b/>
                <w:bCs/>
                <w:szCs w:val="18"/>
              </w:rPr>
              <w:t>行为管理</w:t>
            </w:r>
          </w:p>
        </w:tc>
        <w:tc>
          <w:tcPr>
            <w:tcW w:w="6631" w:type="dxa"/>
          </w:tcPr>
          <w:p>
            <w:pPr>
              <w:rPr>
                <w:rFonts w:ascii="宋体" w:cs="宋体"/>
                <w:kern w:val="0"/>
                <w:szCs w:val="24"/>
              </w:rPr>
            </w:pPr>
            <w:r>
              <w:rPr>
                <w:rFonts w:hint="eastAsia" w:ascii="宋体" w:hAnsi="宋体"/>
                <w:szCs w:val="18"/>
              </w:rPr>
              <w:t>支持自动学习服务器的网络外连行为、命令执行行为、文件创建行为，并自动进行时序、归化处理</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cs="宋体"/>
                <w:kern w:val="0"/>
                <w:szCs w:val="24"/>
              </w:rPr>
            </w:pPr>
            <w:r>
              <w:rPr>
                <w:rFonts w:hint="eastAsia" w:ascii="宋体" w:hAnsi="宋体"/>
                <w:szCs w:val="18"/>
              </w:rPr>
              <w:t>支持对服务行为进行状态学习，可添加命令执行、文件创建、网络连接三种服务行为例外的白名单，针对学习行为之外的行为进行告警，支持对行为进行信任、例外操作</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cs="宋体"/>
                <w:kern w:val="0"/>
                <w:szCs w:val="24"/>
              </w:rPr>
            </w:pPr>
            <w:r>
              <w:rPr>
                <w:rFonts w:hint="eastAsia" w:ascii="宋体" w:hAnsi="宋体"/>
                <w:szCs w:val="18"/>
              </w:rPr>
              <w:t>支持梳理学习主机上的应用运行情况，并进行白名单管理，针对白名单外的应用告警</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restart"/>
            <w:vAlign w:val="center"/>
          </w:tcPr>
          <w:p>
            <w:pPr>
              <w:jc w:val="center"/>
              <w:rPr>
                <w:rFonts w:ascii="宋体" w:hAnsi="宋体"/>
                <w:b/>
                <w:bCs/>
                <w:szCs w:val="18"/>
              </w:rPr>
            </w:pPr>
            <w:r>
              <w:rPr>
                <w:rFonts w:hint="eastAsia" w:ascii="宋体" w:hAnsi="宋体"/>
                <w:b/>
                <w:bCs/>
                <w:szCs w:val="18"/>
              </w:rPr>
              <w:t>微隔离</w:t>
            </w:r>
          </w:p>
        </w:tc>
        <w:tc>
          <w:tcPr>
            <w:tcW w:w="6631" w:type="dxa"/>
          </w:tcPr>
          <w:p>
            <w:pPr>
              <w:rPr>
                <w:rFonts w:ascii="宋体" w:hAnsi="宋体"/>
                <w:szCs w:val="18"/>
              </w:rPr>
            </w:pPr>
            <w:r>
              <w:rPr>
                <w:rFonts w:hint="eastAsia" w:ascii="宋体" w:hAnsi="宋体"/>
                <w:szCs w:val="18"/>
              </w:rPr>
              <w:t>支持自动学习并梳理出对互联网暴露的服务器端口信息，并提供端口处置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支持自动学习并梳理出内网端口访问情况，并提供端口处置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支持对端口访问I</w:t>
            </w:r>
            <w:r>
              <w:rPr>
                <w:rFonts w:ascii="宋体" w:hAnsi="宋体"/>
                <w:szCs w:val="18"/>
              </w:rPr>
              <w:t>P</w:t>
            </w:r>
            <w:r>
              <w:rPr>
                <w:rFonts w:hint="eastAsia" w:ascii="宋体" w:hAnsi="宋体"/>
                <w:szCs w:val="18"/>
              </w:rPr>
              <w:t>地址、I</w:t>
            </w:r>
            <w:r>
              <w:rPr>
                <w:rFonts w:ascii="宋体" w:hAnsi="宋体"/>
                <w:szCs w:val="18"/>
              </w:rPr>
              <w:t>P</w:t>
            </w:r>
            <w:r>
              <w:rPr>
                <w:rFonts w:hint="eastAsia" w:ascii="宋体" w:hAnsi="宋体"/>
                <w:szCs w:val="18"/>
              </w:rPr>
              <w:t>端、主机进行例外设置</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外连白名单</w:t>
            </w:r>
          </w:p>
        </w:tc>
        <w:tc>
          <w:tcPr>
            <w:tcW w:w="6631" w:type="dxa"/>
          </w:tcPr>
          <w:p>
            <w:pPr>
              <w:rPr>
                <w:rFonts w:ascii="宋体" w:hAnsi="宋体"/>
                <w:szCs w:val="18"/>
              </w:rPr>
            </w:pPr>
            <w:r>
              <w:rPr>
                <w:rFonts w:hint="eastAsia" w:ascii="宋体" w:hAnsi="宋体"/>
                <w:szCs w:val="18"/>
              </w:rPr>
              <w:t>支持从服务器、进程维度监控分析进程外连情况，外连IP地址及域名，并提供告警</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风险发现</w:t>
            </w:r>
          </w:p>
        </w:tc>
        <w:tc>
          <w:tcPr>
            <w:tcW w:w="6631" w:type="dxa"/>
          </w:tcPr>
          <w:p>
            <w:pPr>
              <w:rPr>
                <w:rFonts w:ascii="宋体" w:cs="宋体"/>
                <w:kern w:val="0"/>
                <w:szCs w:val="24"/>
              </w:rPr>
            </w:pPr>
            <w:r>
              <w:rPr>
                <w:rFonts w:hint="eastAsia" w:ascii="宋体" w:cs="宋体"/>
                <w:kern w:val="0"/>
                <w:szCs w:val="24"/>
              </w:rPr>
              <w:t>支持服务器系统级、数据库、中间件、应用级的弱口令、口令复用扫描，并可对扫描的结果进行修复验证，还可对口令风险的扫描任务进行设置，包括任务名称、目标服务器、扫描类型、扫描所用字典、执行周期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软件漏洞检测</w:t>
            </w:r>
          </w:p>
        </w:tc>
        <w:tc>
          <w:tcPr>
            <w:tcW w:w="6631" w:type="dxa"/>
          </w:tcPr>
          <w:p>
            <w:pPr>
              <w:rPr>
                <w:rFonts w:ascii="宋体" w:cs="宋体"/>
                <w:kern w:val="0"/>
                <w:szCs w:val="24"/>
              </w:rPr>
            </w:pPr>
            <w:r>
              <w:rPr>
                <w:rFonts w:hint="eastAsia" w:ascii="宋体" w:cs="宋体"/>
                <w:kern w:val="0"/>
                <w:szCs w:val="24"/>
              </w:rPr>
              <w:t>可对服务器的软件漏洞进行综合扫描，并可对扫描方式、扫描周期进行设置，并以报告的形式展示软件漏洞扫描结果，包括：问题机器TOP5、影响最多漏洞TOP5、漏洞发现趋势等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基线检查</w:t>
            </w:r>
          </w:p>
        </w:tc>
        <w:tc>
          <w:tcPr>
            <w:tcW w:w="6631" w:type="dxa"/>
          </w:tcPr>
          <w:p>
            <w:pPr>
              <w:rPr>
                <w:rFonts w:ascii="宋体" w:hAnsi="宋体"/>
                <w:szCs w:val="18"/>
              </w:rPr>
            </w:pPr>
            <w:r>
              <w:rPr>
                <w:rFonts w:hint="eastAsia" w:ascii="宋体" w:cs="宋体"/>
                <w:kern w:val="0"/>
                <w:szCs w:val="24"/>
              </w:rPr>
              <w:t>可支持等级保护2.0的二级、三级检查、测评、整改的业务检查，系统内置官方等保2.0的二级、三级基线模板，满足等保二级及等保三级要求，同时支持用户自定义基线检查任务。并支持基线检查结果的图形化统计，包括：合规率、问题项TOP5、风险服务器TOP5等维度的统计，并可导出基线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bookmarkStart w:id="2" w:name="_Hlk72055572"/>
            <w:bookmarkStart w:id="3" w:name="_Hlk72055601"/>
          </w:p>
        </w:tc>
        <w:tc>
          <w:tcPr>
            <w:tcW w:w="1921" w:type="dxa"/>
            <w:vMerge w:val="restart"/>
            <w:vAlign w:val="center"/>
          </w:tcPr>
          <w:p>
            <w:pPr>
              <w:jc w:val="center"/>
              <w:rPr>
                <w:rFonts w:ascii="宋体" w:hAnsi="宋体"/>
                <w:b/>
                <w:bCs/>
                <w:szCs w:val="18"/>
              </w:rPr>
            </w:pPr>
            <w:r>
              <w:rPr>
                <w:rFonts w:hint="eastAsia" w:ascii="宋体" w:hAnsi="宋体"/>
                <w:b/>
                <w:bCs/>
                <w:szCs w:val="18"/>
              </w:rPr>
              <w:t>防护加固策略模板管理</w:t>
            </w:r>
            <w:bookmarkEnd w:id="2"/>
          </w:p>
        </w:tc>
        <w:tc>
          <w:tcPr>
            <w:tcW w:w="6631" w:type="dxa"/>
          </w:tcPr>
          <w:p>
            <w:pPr>
              <w:rPr>
                <w:rFonts w:ascii="宋体" w:cs="宋体"/>
                <w:kern w:val="0"/>
                <w:szCs w:val="24"/>
              </w:rPr>
            </w:pPr>
            <w:r>
              <w:rPr>
                <w:rFonts w:hint="eastAsia" w:ascii="宋体" w:hAnsi="宋体"/>
                <w:szCs w:val="18"/>
              </w:rPr>
              <w:t>支持对各类加固防护策略存为模板，并进行加固防护策略下发、导入导出等操作。包括：应用的高级防护、应用漏洞防护、应用暴力破解防护、系统文件监控与防护、操作系统加固防护、网络I</w:t>
            </w:r>
            <w:r>
              <w:rPr>
                <w:rFonts w:ascii="宋体" w:hAnsi="宋体"/>
                <w:szCs w:val="18"/>
              </w:rPr>
              <w:t>P</w:t>
            </w:r>
            <w:r>
              <w:rPr>
                <w:rFonts w:hint="eastAsia" w:ascii="宋体" w:hAnsi="宋体"/>
                <w:szCs w:val="18"/>
              </w:rPr>
              <w:t>黑白名单防护、网络防端口扫描等防护策略。</w:t>
            </w:r>
            <w:r>
              <w:rPr>
                <w:rFonts w:hint="eastAsia" w:ascii="宋体" w:hAnsi="宋体"/>
                <w:b/>
                <w:bCs/>
                <w:szCs w:val="18"/>
              </w:rPr>
              <w:t>（提供产品截图证明并加盖厂商公章）</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cs="宋体"/>
                <w:kern w:val="0"/>
                <w:szCs w:val="24"/>
              </w:rPr>
            </w:pPr>
            <w:r>
              <w:rPr>
                <w:rFonts w:hint="eastAsia" w:ascii="宋体" w:hAnsi="宋体"/>
                <w:szCs w:val="18"/>
              </w:rPr>
              <w:t>支持批量对客户端的Web应用防护、系统加固、文件防护、网络防护等功能进行启停，支持通过模板的方式快速进行管理和配置下发</w:t>
            </w:r>
            <w:r>
              <w:rPr>
                <w:rFonts w:hint="eastAsia" w:ascii="宋体" w:hAnsi="宋体"/>
                <w:b/>
                <w:bCs/>
                <w:szCs w:val="18"/>
              </w:rPr>
              <w:t>（提供产品截图证明并加盖厂商公章）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restart"/>
            <w:vAlign w:val="center"/>
          </w:tcPr>
          <w:p>
            <w:pPr>
              <w:jc w:val="center"/>
              <w:rPr>
                <w:rFonts w:ascii="宋体" w:hAnsi="宋体"/>
                <w:b/>
                <w:bCs/>
                <w:szCs w:val="18"/>
              </w:rPr>
            </w:pPr>
            <w:r>
              <w:rPr>
                <w:rFonts w:hint="eastAsia" w:ascii="宋体" w:hAnsi="宋体"/>
                <w:b/>
                <w:bCs/>
                <w:szCs w:val="18"/>
              </w:rPr>
              <w:t>性能监控</w:t>
            </w:r>
          </w:p>
        </w:tc>
        <w:tc>
          <w:tcPr>
            <w:tcW w:w="6631" w:type="dxa"/>
          </w:tcPr>
          <w:p>
            <w:pPr>
              <w:rPr>
                <w:rFonts w:ascii="宋体" w:hAnsi="宋体"/>
                <w:szCs w:val="18"/>
              </w:rPr>
            </w:pPr>
            <w:r>
              <w:rPr>
                <w:rFonts w:hint="eastAsia" w:ascii="宋体" w:hAnsi="宋体"/>
                <w:szCs w:val="18"/>
              </w:rPr>
              <w:t>支持对服务器主机的C</w:t>
            </w:r>
            <w:r>
              <w:rPr>
                <w:rFonts w:ascii="宋体" w:hAnsi="宋体"/>
                <w:szCs w:val="18"/>
              </w:rPr>
              <w:t>PU</w:t>
            </w:r>
            <w:r>
              <w:rPr>
                <w:rFonts w:hint="eastAsia" w:ascii="宋体" w:hAnsi="宋体"/>
                <w:szCs w:val="18"/>
              </w:rPr>
              <w:t>利用率、内存使用率、磁盘使用率进行监控，支持展示近1小时、近半天、近1天、近7天、近1个月、近1年的监控数据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支持对自身Agent的C</w:t>
            </w:r>
            <w:r>
              <w:rPr>
                <w:rFonts w:ascii="宋体" w:hAnsi="宋体"/>
                <w:szCs w:val="18"/>
              </w:rPr>
              <w:t>PU</w:t>
            </w:r>
            <w:r>
              <w:rPr>
                <w:rFonts w:hint="eastAsia" w:ascii="宋体" w:hAnsi="宋体"/>
                <w:szCs w:val="18"/>
              </w:rPr>
              <w:t>利用率、内存使用率进行监控，支持展示近1小时、近半天、近1天、近7天、近1个月、近1年的监控数据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报表生成下载</w:t>
            </w:r>
          </w:p>
        </w:tc>
        <w:tc>
          <w:tcPr>
            <w:tcW w:w="6631" w:type="dxa"/>
          </w:tcPr>
          <w:p>
            <w:pPr>
              <w:rPr>
                <w:rFonts w:ascii="宋体" w:hAnsi="宋体"/>
                <w:szCs w:val="18"/>
              </w:rPr>
            </w:pPr>
            <w:r>
              <w:rPr>
                <w:rFonts w:hint="eastAsia" w:ascii="宋体" w:hAnsi="宋体"/>
                <w:szCs w:val="18"/>
              </w:rPr>
              <w:t>支持各类日志、安全报表、资产报表、事件报表、功能状态报表的综合下载导出，并可根据实际情况对报表内容进行自定义导出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restart"/>
            <w:vAlign w:val="center"/>
          </w:tcPr>
          <w:p>
            <w:pPr>
              <w:jc w:val="center"/>
              <w:rPr>
                <w:rFonts w:ascii="宋体" w:hAnsi="宋体"/>
                <w:b/>
                <w:bCs/>
                <w:szCs w:val="18"/>
              </w:rPr>
            </w:pPr>
            <w:r>
              <w:rPr>
                <w:rFonts w:hint="eastAsia" w:ascii="宋体" w:hAnsi="宋体"/>
                <w:b/>
                <w:bCs/>
                <w:szCs w:val="18"/>
              </w:rPr>
              <w:t>产品后台管理</w:t>
            </w:r>
          </w:p>
        </w:tc>
        <w:tc>
          <w:tcPr>
            <w:tcW w:w="6631" w:type="dxa"/>
          </w:tcPr>
          <w:p>
            <w:pPr>
              <w:rPr>
                <w:rFonts w:ascii="宋体" w:hAnsi="宋体"/>
                <w:szCs w:val="18"/>
              </w:rPr>
            </w:pPr>
            <w:r>
              <w:rPr>
                <w:rFonts w:hint="eastAsia" w:ascii="宋体" w:hAnsi="宋体"/>
                <w:szCs w:val="18"/>
              </w:rPr>
              <w:t>支持展示客户端的安装时间、当前客户端版本、最新客户端版本、启动时间、结束时间、更新状态进行展示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支持批量对客户端的版本进行更新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支持离线安装、命令安装客户端，采用命令安装时支持设置代理地址、默认端口、安装路径、磁盘检测、是否允许覆盖安装等参数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账号管理</w:t>
            </w:r>
          </w:p>
        </w:tc>
        <w:tc>
          <w:tcPr>
            <w:tcW w:w="6631" w:type="dxa"/>
          </w:tcPr>
          <w:p>
            <w:pPr>
              <w:rPr>
                <w:rFonts w:ascii="宋体" w:hAnsi="宋体"/>
                <w:szCs w:val="18"/>
              </w:rPr>
            </w:pPr>
            <w:r>
              <w:rPr>
                <w:rFonts w:hint="eastAsia" w:ascii="宋体" w:hAnsi="宋体"/>
                <w:szCs w:val="18"/>
              </w:rPr>
              <w:t>支持创建子账号，创建账号时支持配置其角色、上级账户、绑定服务器，支持添加归属人、手机号、邮箱、备注等附属信息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restart"/>
            <w:vAlign w:val="center"/>
          </w:tcPr>
          <w:p>
            <w:pPr>
              <w:jc w:val="center"/>
              <w:rPr>
                <w:rFonts w:ascii="宋体" w:hAnsi="宋体"/>
                <w:b/>
                <w:bCs/>
                <w:szCs w:val="18"/>
              </w:rPr>
            </w:pPr>
            <w:r>
              <w:rPr>
                <w:rFonts w:hint="eastAsia" w:ascii="宋体" w:hAnsi="宋体"/>
                <w:b/>
                <w:bCs/>
                <w:szCs w:val="18"/>
              </w:rPr>
              <w:t>主机资产清点</w:t>
            </w:r>
          </w:p>
        </w:tc>
        <w:tc>
          <w:tcPr>
            <w:tcW w:w="6631" w:type="dxa"/>
          </w:tcPr>
          <w:p>
            <w:pPr>
              <w:rPr>
                <w:rFonts w:ascii="宋体" w:hAnsi="宋体"/>
                <w:szCs w:val="18"/>
              </w:rPr>
            </w:pPr>
            <w:r>
              <w:rPr>
                <w:rFonts w:hint="eastAsia" w:ascii="宋体" w:hAnsi="宋体"/>
                <w:szCs w:val="18"/>
              </w:rPr>
              <w:t>支持展示当前服务器、进程、账户、软件应用、Web资产、Web服务、Web框架、数据库、端口、网络连接、启动服务、安装包、计划任务、环境变量、内核模块等分类资产数量统计，可对分类资产全局进行快速搜索，保留历史搜索记录并保存搜索条件以进行快捷搜索，同时提供服务器名、IP地址、操作系统、资产类型的筛选搜索；针对搜索结果，支持按资产类型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支持展示服务器名称、状态、操作系统、IP地址等基本服务器资产信息，CPU、内存、磁盘、分区等硬件配置信息，负责人、资产级别、联系电话、邮件等运维信息，并提供搜索及导出功能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可从进程和服务器两个维度展示进程的进程名、进程路径、启动用户、启动时间等进程信息，并提供搜索及导出功能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支持从账户和服务器两个维度展示账户的账户名、状态、目录、用户ID、登录时间等账户信息，并提供搜索及导出功能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支持从软件和服务器两个维度展示软件的名称、版本、安装文件路径、配置文件路径等软件应用信息，并提供搜索及导出功能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支持从数据库和服务器两个维度展示数据库的类型、路径、对应端口等数据信息，并提供搜索及导出功能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支持从端口和服务器两个维度展示端口的端口号、绑定ip、端口状态、进程路径等端口信息，并提供搜索及导出功能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支持展示服务器当前的网络连接情况，包括源目的端口、进程、协议等网络连接信息，并提供搜索及导出功能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支持从资产模式和服务器两个维度，展示启动的服务名、启动状态、服务描述、脚本路径、启动类型、文件公司名、文件MD5等信息，并提供搜索及导出功能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支持从安装包和服务器两个维度展示安装包的版本号、安装路径、程序大小、安装时间等安装包信息，并提供搜索及导出功能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Align w:val="center"/>
          </w:tcPr>
          <w:p>
            <w:pPr>
              <w:jc w:val="center"/>
              <w:rPr>
                <w:rFonts w:ascii="宋体" w:hAnsi="宋体"/>
                <w:b/>
                <w:bCs/>
                <w:szCs w:val="18"/>
              </w:rPr>
            </w:pPr>
            <w:r>
              <w:rPr>
                <w:rFonts w:hint="eastAsia" w:ascii="宋体" w:hAnsi="宋体"/>
                <w:b/>
                <w:bCs/>
                <w:szCs w:val="18"/>
              </w:rPr>
              <w:t>主机资产发现</w:t>
            </w:r>
          </w:p>
        </w:tc>
        <w:tc>
          <w:tcPr>
            <w:tcW w:w="6631" w:type="dxa"/>
          </w:tcPr>
          <w:p>
            <w:pPr>
              <w:rPr>
                <w:rFonts w:ascii="宋体" w:hAnsi="宋体"/>
                <w:szCs w:val="18"/>
              </w:rPr>
            </w:pPr>
            <w:r>
              <w:rPr>
                <w:rFonts w:hint="eastAsia" w:ascii="宋体" w:hAnsi="宋体"/>
                <w:szCs w:val="18"/>
              </w:rPr>
              <w:t>支持对局域网内服务器的服务器进行扫描，并自动获取服务器相关信息，包括服务器名、在线状态、别名、主机IP、AgentID、分组标签、操作系统、IPv4、IPv6、负责人、所属部门等信息，可通过自动、手动的进行资产发现的任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restart"/>
            <w:vAlign w:val="center"/>
          </w:tcPr>
          <w:p>
            <w:pPr>
              <w:jc w:val="center"/>
              <w:rPr>
                <w:rFonts w:ascii="宋体" w:hAnsi="宋体"/>
                <w:b/>
                <w:bCs/>
                <w:szCs w:val="18"/>
              </w:rPr>
            </w:pPr>
            <w:r>
              <w:rPr>
                <w:rFonts w:hint="eastAsia" w:ascii="宋体" w:hAnsi="宋体"/>
                <w:b/>
                <w:bCs/>
                <w:szCs w:val="18"/>
              </w:rPr>
              <w:t>资质要求</w:t>
            </w:r>
          </w:p>
        </w:tc>
        <w:tc>
          <w:tcPr>
            <w:tcW w:w="6631" w:type="dxa"/>
          </w:tcPr>
          <w:p>
            <w:pPr>
              <w:rPr>
                <w:rFonts w:ascii="宋体" w:hAnsi="宋体"/>
                <w:szCs w:val="18"/>
              </w:rPr>
            </w:pPr>
            <w:r>
              <w:rPr>
                <w:rFonts w:hint="eastAsia" w:ascii="宋体" w:hAnsi="宋体"/>
                <w:szCs w:val="18"/>
              </w:rPr>
              <w:t>产品拥有自主知识产权，非O</w:t>
            </w:r>
            <w:r>
              <w:rPr>
                <w:rFonts w:ascii="宋体" w:hAnsi="宋体"/>
                <w:szCs w:val="18"/>
              </w:rPr>
              <w:t>EM</w:t>
            </w:r>
            <w:r>
              <w:rPr>
                <w:rFonts w:hint="eastAsia" w:ascii="宋体" w:hAnsi="宋体"/>
                <w:szCs w:val="18"/>
              </w:rPr>
              <w:t>、代理销售产品，具有国家版权局颁发的“计算机软件著作权登记证书”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1" w:type="dxa"/>
            <w:vAlign w:val="center"/>
          </w:tcPr>
          <w:p>
            <w:pPr>
              <w:numPr>
                <w:ilvl w:val="0"/>
                <w:numId w:val="5"/>
              </w:numPr>
              <w:spacing w:before="100" w:beforeAutospacing="1" w:after="100" w:afterAutospacing="1"/>
              <w:jc w:val="center"/>
              <w:rPr>
                <w:rFonts w:ascii="宋体" w:hAnsi="宋体"/>
                <w:b/>
                <w:bCs/>
                <w:szCs w:val="18"/>
              </w:rPr>
            </w:pPr>
          </w:p>
        </w:tc>
        <w:tc>
          <w:tcPr>
            <w:tcW w:w="1921" w:type="dxa"/>
            <w:vMerge w:val="continue"/>
            <w:vAlign w:val="center"/>
          </w:tcPr>
          <w:p>
            <w:pPr>
              <w:jc w:val="center"/>
              <w:rPr>
                <w:rFonts w:ascii="宋体" w:hAnsi="宋体"/>
                <w:b/>
                <w:bCs/>
                <w:szCs w:val="18"/>
              </w:rPr>
            </w:pPr>
          </w:p>
        </w:tc>
        <w:tc>
          <w:tcPr>
            <w:tcW w:w="6631" w:type="dxa"/>
          </w:tcPr>
          <w:p>
            <w:pPr>
              <w:rPr>
                <w:rFonts w:ascii="宋体" w:hAnsi="宋体"/>
                <w:szCs w:val="18"/>
              </w:rPr>
            </w:pPr>
            <w:r>
              <w:rPr>
                <w:rFonts w:hint="eastAsia" w:ascii="宋体" w:hAnsi="宋体"/>
                <w:szCs w:val="18"/>
              </w:rPr>
              <w:t>产品拥有公安部颁发的“主机文件监测（基本级）”安全专用销售许可证</w:t>
            </w:r>
          </w:p>
        </w:tc>
      </w:tr>
    </w:tbl>
    <w:p>
      <w:pPr>
        <w:pStyle w:val="2"/>
        <w:spacing w:line="360" w:lineRule="auto"/>
        <w:rPr>
          <w:rFonts w:ascii="宋体" w:hAnsi="宋体" w:cs="宋体"/>
          <w:sz w:val="28"/>
          <w:szCs w:val="28"/>
        </w:rPr>
      </w:pPr>
      <w:r>
        <w:rPr>
          <w:rFonts w:hint="eastAsia" w:ascii="宋体" w:hAnsi="宋体" w:cs="宋体"/>
          <w:sz w:val="28"/>
          <w:szCs w:val="28"/>
        </w:rPr>
        <w:t>四、服务要求</w:t>
      </w:r>
    </w:p>
    <w:p>
      <w:pPr>
        <w:spacing w:line="360" w:lineRule="auto"/>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1.实施服务要求</w:t>
      </w:r>
    </w:p>
    <w:p>
      <w:pPr>
        <w:shd w:val="clear" w:color="auto" w:fill="FFFFFF"/>
        <w:spacing w:line="360" w:lineRule="auto"/>
        <w:jc w:val="left"/>
        <w:rPr>
          <w:rFonts w:ascii="宋体" w:hAnsi="宋体" w:cs="宋体"/>
          <w:color w:val="000000"/>
          <w:kern w:val="0"/>
          <w:sz w:val="28"/>
          <w:szCs w:val="28"/>
        </w:rPr>
      </w:pPr>
    </w:p>
    <w:p>
      <w:pPr>
        <w:shd w:val="clear" w:color="auto" w:fill="FFFFFF"/>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供应商须保证所提供的产品包括相关附件为相应厂家原装正品，软件产品为相关厂家正版软件，符合国家有关规定。供应商须保证所提供产品具有合法的版权或使用权，本项目采购的产品，如在本项目范围内使用过程中出现版权或使用权纠纷，应由供应商负责。</w:t>
      </w:r>
    </w:p>
    <w:p>
      <w:pPr>
        <w:spacing w:line="360" w:lineRule="auto"/>
        <w:ind w:firstLine="562" w:firstLineChars="200"/>
        <w:rPr>
          <w:rFonts w:ascii="宋体" w:hAnsi="宋体" w:cs="宋体"/>
          <w:b/>
          <w:color w:val="000000"/>
          <w:kern w:val="0"/>
          <w:sz w:val="28"/>
          <w:szCs w:val="28"/>
        </w:rPr>
      </w:pPr>
      <w:r>
        <w:rPr>
          <w:rFonts w:hint="eastAsia" w:ascii="宋体" w:hAnsi="宋体" w:cs="宋体"/>
          <w:b/>
          <w:color w:val="000000"/>
          <w:kern w:val="0"/>
          <w:sz w:val="28"/>
          <w:szCs w:val="28"/>
        </w:rPr>
        <w:t>2.售后服务要求</w:t>
      </w:r>
    </w:p>
    <w:p>
      <w:pPr>
        <w:shd w:val="clear" w:color="auto" w:fill="FFFFFF"/>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（1）软件免费保修期</w:t>
      </w:r>
      <w:r>
        <w:rPr>
          <w:rFonts w:hint="eastAsia" w:ascii="宋体" w:hAnsi="宋体" w:cs="宋体"/>
          <w:color w:val="000000"/>
          <w:kern w:val="0"/>
          <w:sz w:val="28"/>
          <w:szCs w:val="28"/>
          <w:lang w:eastAsia="zh-CN"/>
        </w:rPr>
        <w:t>不少于</w:t>
      </w:r>
      <w:r>
        <w:rPr>
          <w:rFonts w:hint="eastAsia" w:ascii="宋体" w:hAnsi="宋体" w:cs="宋体"/>
          <w:color w:val="000000"/>
          <w:kern w:val="0"/>
          <w:sz w:val="28"/>
          <w:szCs w:val="28"/>
        </w:rPr>
        <w:t>1年。软件系统在免费保修期内，原有软件模块功能均享受免费升级服务。</w:t>
      </w:r>
    </w:p>
    <w:p>
      <w:pPr>
        <w:shd w:val="clear" w:color="auto" w:fill="FFFFFF"/>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（2）软件出现故障影响使用时，应1小时以内电话响应并远程处理，24小时以内到现场处理。</w:t>
      </w:r>
    </w:p>
    <w:p>
      <w:pPr>
        <w:shd w:val="clear" w:color="auto" w:fill="FFFFFF"/>
        <w:spacing w:line="360" w:lineRule="auto"/>
        <w:ind w:firstLine="562" w:firstLineChars="200"/>
        <w:jc w:val="left"/>
        <w:rPr>
          <w:rFonts w:ascii="宋体" w:hAnsi="宋体" w:cs="宋体"/>
          <w:b/>
          <w:color w:val="000000"/>
          <w:kern w:val="0"/>
          <w:sz w:val="28"/>
          <w:szCs w:val="28"/>
        </w:rPr>
      </w:pPr>
      <w:r>
        <w:rPr>
          <w:rFonts w:hint="eastAsia" w:ascii="宋体" w:hAnsi="宋体" w:cs="宋体"/>
          <w:b/>
          <w:color w:val="000000"/>
          <w:kern w:val="0"/>
          <w:sz w:val="28"/>
          <w:szCs w:val="28"/>
        </w:rPr>
        <w:t>3.培训要求</w:t>
      </w:r>
    </w:p>
    <w:p>
      <w:pPr>
        <w:shd w:val="clear" w:color="auto" w:fill="FFFFFF"/>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（1）供应商应提供包括本项目顺利实施的所有培训服务，保证医院人员的使用与日常维护工作。所有的培训费用应计入本次服务总价。</w:t>
      </w:r>
    </w:p>
    <w:p>
      <w:pPr>
        <w:shd w:val="clear" w:color="auto" w:fill="FFFFFF"/>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（2）培训内容与课程要求：</w:t>
      </w:r>
    </w:p>
    <w:p>
      <w:pPr>
        <w:shd w:val="clear" w:color="auto" w:fill="FFFFFF"/>
        <w:spacing w:line="360" w:lineRule="auto"/>
        <w:ind w:firstLine="560" w:firstLineChars="200"/>
        <w:jc w:val="left"/>
        <w:rPr>
          <w:rFonts w:ascii="宋体" w:hAnsi="宋体" w:cs="宋体"/>
          <w:b/>
          <w:bCs/>
          <w:color w:val="000000"/>
          <w:kern w:val="0"/>
          <w:sz w:val="28"/>
          <w:szCs w:val="28"/>
          <w:highlight w:val="yellow"/>
        </w:rPr>
      </w:pPr>
      <w:r>
        <w:rPr>
          <w:rFonts w:hint="eastAsia" w:ascii="宋体" w:hAnsi="宋体" w:cs="宋体"/>
          <w:color w:val="000000"/>
          <w:kern w:val="0"/>
          <w:sz w:val="28"/>
          <w:szCs w:val="28"/>
        </w:rPr>
        <w:t>提供信息管理系统操作、使用和维护培训；</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D097E"/>
    <w:multiLevelType w:val="singleLevel"/>
    <w:tmpl w:val="20DD097E"/>
    <w:lvl w:ilvl="0" w:tentative="0">
      <w:start w:val="1"/>
      <w:numFmt w:val="decimal"/>
      <w:lvlText w:val="%1."/>
      <w:lvlJc w:val="left"/>
      <w:pPr>
        <w:tabs>
          <w:tab w:val="left" w:pos="312"/>
        </w:tabs>
      </w:pPr>
    </w:lvl>
  </w:abstractNum>
  <w:abstractNum w:abstractNumId="1">
    <w:nsid w:val="2BAE2E1B"/>
    <w:multiLevelType w:val="singleLevel"/>
    <w:tmpl w:val="2BAE2E1B"/>
    <w:lvl w:ilvl="0" w:tentative="0">
      <w:start w:val="1"/>
      <w:numFmt w:val="decimal"/>
      <w:lvlText w:val="%1)"/>
      <w:lvlJc w:val="left"/>
      <w:pPr>
        <w:ind w:left="425" w:hanging="425"/>
      </w:pPr>
      <w:rPr>
        <w:rFonts w:hint="default"/>
      </w:rPr>
    </w:lvl>
  </w:abstractNum>
  <w:abstractNum w:abstractNumId="2">
    <w:nsid w:val="5D132B28"/>
    <w:multiLevelType w:val="singleLevel"/>
    <w:tmpl w:val="5D132B28"/>
    <w:lvl w:ilvl="0" w:tentative="0">
      <w:start w:val="2"/>
      <w:numFmt w:val="chineseCounting"/>
      <w:suff w:val="nothing"/>
      <w:lvlText w:val="%1、"/>
      <w:lvlJc w:val="left"/>
    </w:lvl>
  </w:abstractNum>
  <w:abstractNum w:abstractNumId="3">
    <w:nsid w:val="5D4D2C0B"/>
    <w:multiLevelType w:val="singleLevel"/>
    <w:tmpl w:val="5D4D2C0B"/>
    <w:lvl w:ilvl="0" w:tentative="0">
      <w:start w:val="1"/>
      <w:numFmt w:val="chineseCounting"/>
      <w:suff w:val="nothing"/>
      <w:lvlText w:val="%1、"/>
      <w:lvlJc w:val="left"/>
    </w:lvl>
  </w:abstractNum>
  <w:abstractNum w:abstractNumId="4">
    <w:nsid w:val="612E6F72"/>
    <w:multiLevelType w:val="singleLevel"/>
    <w:tmpl w:val="612E6F72"/>
    <w:lvl w:ilvl="0" w:tentative="0">
      <w:start w:val="1"/>
      <w:numFmt w:val="decimal"/>
      <w:lvlText w:val="%1"/>
      <w:lvlJc w:val="center"/>
      <w:pPr>
        <w:tabs>
          <w:tab w:val="left" w:pos="420"/>
        </w:tabs>
        <w:ind w:left="425" w:hanging="42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72"/>
    <w:rsid w:val="000270CF"/>
    <w:rsid w:val="00031FFC"/>
    <w:rsid w:val="00036D21"/>
    <w:rsid w:val="00040D5A"/>
    <w:rsid w:val="000524B8"/>
    <w:rsid w:val="00057FAA"/>
    <w:rsid w:val="00080506"/>
    <w:rsid w:val="00093AC9"/>
    <w:rsid w:val="00097194"/>
    <w:rsid w:val="000B5DBD"/>
    <w:rsid w:val="000B7A83"/>
    <w:rsid w:val="000C6A7E"/>
    <w:rsid w:val="000D6FAF"/>
    <w:rsid w:val="000E198D"/>
    <w:rsid w:val="000E4DB6"/>
    <w:rsid w:val="000F125A"/>
    <w:rsid w:val="000F1B8A"/>
    <w:rsid w:val="00105E57"/>
    <w:rsid w:val="00145F20"/>
    <w:rsid w:val="00152BF0"/>
    <w:rsid w:val="00167EEE"/>
    <w:rsid w:val="00172FAC"/>
    <w:rsid w:val="001914C9"/>
    <w:rsid w:val="001A3F3C"/>
    <w:rsid w:val="001B5D2A"/>
    <w:rsid w:val="001B6F7E"/>
    <w:rsid w:val="001D3F30"/>
    <w:rsid w:val="001E1952"/>
    <w:rsid w:val="001F05FB"/>
    <w:rsid w:val="0020106D"/>
    <w:rsid w:val="002111B1"/>
    <w:rsid w:val="00214CB5"/>
    <w:rsid w:val="002212B8"/>
    <w:rsid w:val="00224EC5"/>
    <w:rsid w:val="002258DF"/>
    <w:rsid w:val="002335AE"/>
    <w:rsid w:val="002419D5"/>
    <w:rsid w:val="00253DE4"/>
    <w:rsid w:val="00282A75"/>
    <w:rsid w:val="002A0428"/>
    <w:rsid w:val="002A7FBF"/>
    <w:rsid w:val="002D169A"/>
    <w:rsid w:val="002D609B"/>
    <w:rsid w:val="002F308B"/>
    <w:rsid w:val="002F66C6"/>
    <w:rsid w:val="003042ED"/>
    <w:rsid w:val="00312CD8"/>
    <w:rsid w:val="003379EB"/>
    <w:rsid w:val="00340791"/>
    <w:rsid w:val="00343A0A"/>
    <w:rsid w:val="00356472"/>
    <w:rsid w:val="00360C8F"/>
    <w:rsid w:val="0036483D"/>
    <w:rsid w:val="0037164D"/>
    <w:rsid w:val="0037735A"/>
    <w:rsid w:val="003A1D43"/>
    <w:rsid w:val="003A6CBC"/>
    <w:rsid w:val="00405739"/>
    <w:rsid w:val="004131E7"/>
    <w:rsid w:val="00445506"/>
    <w:rsid w:val="004510EA"/>
    <w:rsid w:val="004548DC"/>
    <w:rsid w:val="004621D5"/>
    <w:rsid w:val="00465115"/>
    <w:rsid w:val="00472BCD"/>
    <w:rsid w:val="00473403"/>
    <w:rsid w:val="00484DF9"/>
    <w:rsid w:val="004E2169"/>
    <w:rsid w:val="00532F91"/>
    <w:rsid w:val="00534925"/>
    <w:rsid w:val="00545E8C"/>
    <w:rsid w:val="00556D26"/>
    <w:rsid w:val="005652A4"/>
    <w:rsid w:val="00576FE9"/>
    <w:rsid w:val="005A0E64"/>
    <w:rsid w:val="005B30E1"/>
    <w:rsid w:val="005F24E0"/>
    <w:rsid w:val="005F3E21"/>
    <w:rsid w:val="00621119"/>
    <w:rsid w:val="006323EC"/>
    <w:rsid w:val="00641040"/>
    <w:rsid w:val="00647FBE"/>
    <w:rsid w:val="0065469C"/>
    <w:rsid w:val="0069102F"/>
    <w:rsid w:val="006C2F7A"/>
    <w:rsid w:val="006D6500"/>
    <w:rsid w:val="006D6616"/>
    <w:rsid w:val="006E0082"/>
    <w:rsid w:val="006E3332"/>
    <w:rsid w:val="006F139B"/>
    <w:rsid w:val="006F4CD1"/>
    <w:rsid w:val="006F5FA7"/>
    <w:rsid w:val="006F68C6"/>
    <w:rsid w:val="007150FA"/>
    <w:rsid w:val="00717F7D"/>
    <w:rsid w:val="00726506"/>
    <w:rsid w:val="00743D57"/>
    <w:rsid w:val="00750869"/>
    <w:rsid w:val="007643EF"/>
    <w:rsid w:val="007833D4"/>
    <w:rsid w:val="007C4FB9"/>
    <w:rsid w:val="007C5B54"/>
    <w:rsid w:val="007E18C8"/>
    <w:rsid w:val="008249F8"/>
    <w:rsid w:val="00827867"/>
    <w:rsid w:val="00832DCB"/>
    <w:rsid w:val="008705FE"/>
    <w:rsid w:val="0087130F"/>
    <w:rsid w:val="0087634A"/>
    <w:rsid w:val="008C3596"/>
    <w:rsid w:val="008D1DFB"/>
    <w:rsid w:val="008F3E4D"/>
    <w:rsid w:val="00903360"/>
    <w:rsid w:val="00917161"/>
    <w:rsid w:val="00931D7F"/>
    <w:rsid w:val="009465F4"/>
    <w:rsid w:val="00967872"/>
    <w:rsid w:val="00971B5B"/>
    <w:rsid w:val="00974902"/>
    <w:rsid w:val="0098076F"/>
    <w:rsid w:val="00997691"/>
    <w:rsid w:val="009B7959"/>
    <w:rsid w:val="009C7A90"/>
    <w:rsid w:val="009E2DA6"/>
    <w:rsid w:val="009F15F5"/>
    <w:rsid w:val="00A11049"/>
    <w:rsid w:val="00A1533B"/>
    <w:rsid w:val="00A31C1F"/>
    <w:rsid w:val="00A50D25"/>
    <w:rsid w:val="00A51FD5"/>
    <w:rsid w:val="00A547A9"/>
    <w:rsid w:val="00A602A6"/>
    <w:rsid w:val="00A6098F"/>
    <w:rsid w:val="00A61CC6"/>
    <w:rsid w:val="00A61E8C"/>
    <w:rsid w:val="00A668F1"/>
    <w:rsid w:val="00A67F9A"/>
    <w:rsid w:val="00A7070D"/>
    <w:rsid w:val="00A710F0"/>
    <w:rsid w:val="00A94E1D"/>
    <w:rsid w:val="00AD01C9"/>
    <w:rsid w:val="00AE73B0"/>
    <w:rsid w:val="00AF2121"/>
    <w:rsid w:val="00B17FAE"/>
    <w:rsid w:val="00B35AE6"/>
    <w:rsid w:val="00B47BED"/>
    <w:rsid w:val="00B70D7C"/>
    <w:rsid w:val="00B73C81"/>
    <w:rsid w:val="00B84AEF"/>
    <w:rsid w:val="00B85F94"/>
    <w:rsid w:val="00B9403B"/>
    <w:rsid w:val="00B970E0"/>
    <w:rsid w:val="00BA0E2B"/>
    <w:rsid w:val="00BB6217"/>
    <w:rsid w:val="00BC09C7"/>
    <w:rsid w:val="00BD390C"/>
    <w:rsid w:val="00BD4F88"/>
    <w:rsid w:val="00BF5F0A"/>
    <w:rsid w:val="00C15DF9"/>
    <w:rsid w:val="00C5377E"/>
    <w:rsid w:val="00C62987"/>
    <w:rsid w:val="00C644B7"/>
    <w:rsid w:val="00C65184"/>
    <w:rsid w:val="00C71C85"/>
    <w:rsid w:val="00C941F8"/>
    <w:rsid w:val="00CA5EB8"/>
    <w:rsid w:val="00CB1CE4"/>
    <w:rsid w:val="00CB7BA9"/>
    <w:rsid w:val="00CC4EFB"/>
    <w:rsid w:val="00CC6B3E"/>
    <w:rsid w:val="00CC7F5B"/>
    <w:rsid w:val="00CD06D9"/>
    <w:rsid w:val="00CE574A"/>
    <w:rsid w:val="00CE780F"/>
    <w:rsid w:val="00CF30A0"/>
    <w:rsid w:val="00CF51E8"/>
    <w:rsid w:val="00CF7095"/>
    <w:rsid w:val="00D05E97"/>
    <w:rsid w:val="00D30BF6"/>
    <w:rsid w:val="00D34952"/>
    <w:rsid w:val="00D3583A"/>
    <w:rsid w:val="00D374DF"/>
    <w:rsid w:val="00D66A4C"/>
    <w:rsid w:val="00D87AAA"/>
    <w:rsid w:val="00DA0BD9"/>
    <w:rsid w:val="00DA2559"/>
    <w:rsid w:val="00DE3114"/>
    <w:rsid w:val="00E02F97"/>
    <w:rsid w:val="00E0699C"/>
    <w:rsid w:val="00E23BB0"/>
    <w:rsid w:val="00E31E50"/>
    <w:rsid w:val="00E41E23"/>
    <w:rsid w:val="00E5715E"/>
    <w:rsid w:val="00EA0BED"/>
    <w:rsid w:val="00EA2A69"/>
    <w:rsid w:val="00EB0BC4"/>
    <w:rsid w:val="00ED4F83"/>
    <w:rsid w:val="00ED50E3"/>
    <w:rsid w:val="00ED73F1"/>
    <w:rsid w:val="00EE5F68"/>
    <w:rsid w:val="00EF0D47"/>
    <w:rsid w:val="00F24ED7"/>
    <w:rsid w:val="00F30CD7"/>
    <w:rsid w:val="00F3266F"/>
    <w:rsid w:val="00F66649"/>
    <w:rsid w:val="00F842C8"/>
    <w:rsid w:val="00F94ADE"/>
    <w:rsid w:val="00F97BEF"/>
    <w:rsid w:val="00FD299C"/>
    <w:rsid w:val="00FE6B06"/>
    <w:rsid w:val="086352D4"/>
    <w:rsid w:val="0D79395B"/>
    <w:rsid w:val="124628FB"/>
    <w:rsid w:val="16487ACC"/>
    <w:rsid w:val="169816F2"/>
    <w:rsid w:val="1A9F4CB3"/>
    <w:rsid w:val="4DBA1EEE"/>
    <w:rsid w:val="57ED250A"/>
    <w:rsid w:val="59141452"/>
    <w:rsid w:val="63085638"/>
    <w:rsid w:val="63A52A22"/>
    <w:rsid w:val="6E354A25"/>
    <w:rsid w:val="700D6170"/>
    <w:rsid w:val="755F676F"/>
    <w:rsid w:val="760B509D"/>
    <w:rsid w:val="792F5E79"/>
    <w:rsid w:val="7A2A728F"/>
    <w:rsid w:val="7BF4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Normal Indent"/>
    <w:basedOn w:val="1"/>
    <w:link w:val="25"/>
    <w:qFormat/>
    <w:uiPriority w:val="0"/>
    <w:pPr>
      <w:ind w:firstLine="420"/>
    </w:pPr>
    <w:rPr>
      <w:rFonts w:ascii="Times New Roman" w:hAnsi="Times New Roman"/>
      <w:szCs w:val="24"/>
    </w:rPr>
  </w:style>
  <w:style w:type="paragraph" w:styleId="6">
    <w:name w:val="annotation text"/>
    <w:basedOn w:val="1"/>
    <w:link w:val="29"/>
    <w:unhideWhenUsed/>
    <w:qFormat/>
    <w:uiPriority w:val="99"/>
    <w:pPr>
      <w:jc w:val="left"/>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31"/>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annotation subject"/>
    <w:basedOn w:val="6"/>
    <w:next w:val="6"/>
    <w:link w:val="30"/>
    <w:unhideWhenUsed/>
    <w:qFormat/>
    <w:uiPriority w:val="99"/>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unhideWhenUsed/>
    <w:qFormat/>
    <w:uiPriority w:val="99"/>
    <w:rPr>
      <w:sz w:val="21"/>
      <w:szCs w:val="21"/>
    </w:rPr>
  </w:style>
  <w:style w:type="character" w:customStyle="1" w:styleId="23">
    <w:name w:val="页眉 Char"/>
    <w:basedOn w:val="21"/>
    <w:link w:val="12"/>
    <w:qFormat/>
    <w:uiPriority w:val="99"/>
    <w:rPr>
      <w:sz w:val="18"/>
      <w:szCs w:val="18"/>
    </w:rPr>
  </w:style>
  <w:style w:type="character" w:customStyle="1" w:styleId="24">
    <w:name w:val="页脚 Char"/>
    <w:basedOn w:val="21"/>
    <w:link w:val="11"/>
    <w:qFormat/>
    <w:uiPriority w:val="99"/>
    <w:rPr>
      <w:sz w:val="18"/>
      <w:szCs w:val="18"/>
    </w:rPr>
  </w:style>
  <w:style w:type="character" w:customStyle="1" w:styleId="25">
    <w:name w:val="正文缩进 Char"/>
    <w:link w:val="5"/>
    <w:qFormat/>
    <w:uiPriority w:val="0"/>
    <w:rPr>
      <w:rFonts w:ascii="Times New Roman" w:hAnsi="Times New Roman" w:eastAsia="宋体" w:cs="Times New Roman"/>
      <w:szCs w:val="24"/>
    </w:rPr>
  </w:style>
  <w:style w:type="character" w:customStyle="1" w:styleId="26">
    <w:name w:val="列表段落 字符"/>
    <w:link w:val="27"/>
    <w:qFormat/>
    <w:locked/>
    <w:uiPriority w:val="0"/>
    <w:rPr>
      <w:rFonts w:ascii="Calibri" w:hAnsi="Calibri"/>
    </w:rPr>
  </w:style>
  <w:style w:type="paragraph" w:customStyle="1" w:styleId="27">
    <w:name w:val="列表段落1"/>
    <w:basedOn w:val="1"/>
    <w:link w:val="26"/>
    <w:qFormat/>
    <w:uiPriority w:val="0"/>
    <w:pPr>
      <w:ind w:firstLine="420" w:firstLineChars="200"/>
    </w:pPr>
    <w:rPr>
      <w:rFonts w:eastAsiaTheme="minorEastAsia" w:cstheme="minorBidi"/>
    </w:rPr>
  </w:style>
  <w:style w:type="paragraph" w:customStyle="1" w:styleId="28">
    <w:name w:val="列出段落2"/>
    <w:basedOn w:val="1"/>
    <w:qFormat/>
    <w:uiPriority w:val="0"/>
    <w:pPr>
      <w:ind w:firstLine="420" w:firstLineChars="200"/>
    </w:pPr>
    <w:rPr>
      <w:rFonts w:ascii="Times New Roman" w:hAnsi="Times New Roman"/>
    </w:rPr>
  </w:style>
  <w:style w:type="character" w:customStyle="1" w:styleId="29">
    <w:name w:val="批注文字 Char"/>
    <w:basedOn w:val="21"/>
    <w:link w:val="6"/>
    <w:qFormat/>
    <w:uiPriority w:val="99"/>
    <w:rPr>
      <w:rFonts w:ascii="Calibri" w:hAnsi="Calibri" w:eastAsia="宋体" w:cs="Times New Roman"/>
    </w:rPr>
  </w:style>
  <w:style w:type="character" w:customStyle="1" w:styleId="30">
    <w:name w:val="批注主题 Char"/>
    <w:basedOn w:val="29"/>
    <w:link w:val="18"/>
    <w:semiHidden/>
    <w:qFormat/>
    <w:uiPriority w:val="99"/>
    <w:rPr>
      <w:rFonts w:ascii="Calibri" w:hAnsi="Calibri" w:eastAsia="宋体" w:cs="Times New Roman"/>
      <w:b/>
      <w:bCs/>
    </w:rPr>
  </w:style>
  <w:style w:type="character" w:customStyle="1" w:styleId="31">
    <w:name w:val="批注框文本 Char"/>
    <w:basedOn w:val="21"/>
    <w:link w:val="10"/>
    <w:semiHidden/>
    <w:qFormat/>
    <w:uiPriority w:val="99"/>
    <w:rPr>
      <w:rFonts w:ascii="Calibri" w:hAnsi="Calibri" w:eastAsia="宋体" w:cs="Times New Roman"/>
      <w:sz w:val="18"/>
      <w:szCs w:val="18"/>
    </w:rPr>
  </w:style>
  <w:style w:type="paragraph" w:customStyle="1" w:styleId="32">
    <w:name w:val="列表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994</Words>
  <Characters>5672</Characters>
  <Lines>47</Lines>
  <Paragraphs>13</Paragraphs>
  <TotalTime>5269</TotalTime>
  <ScaleCrop>false</ScaleCrop>
  <LinksUpToDate>false</LinksUpToDate>
  <CharactersWithSpaces>6653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2017-08-09T09:56:00Z</dcterms:created>
  <dc:creator>钟老板</dc:creator>
  <cp:lastModifiedBy>Administrator</cp:lastModifiedBy>
  <cp:lastPrinted>2021-09-24T00:17:00Z</cp:lastPrinted>
  <dcterms:modified xsi:type="dcterms:W3CDTF">2021-09-24T02:52:42Z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2FB71B369ED24D18B8DAE89D5D5FF518</vt:lpwstr>
  </property>
</Properties>
</file>