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南方医科大学第三附属医院</w:t>
      </w:r>
    </w:p>
    <w:p>
      <w:pPr>
        <w:spacing w:line="360" w:lineRule="auto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项目外包检测（血液病相关项目）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用户需求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br w:type="page"/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3"/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项目申请理由</w:t>
      </w:r>
    </w:p>
    <w:p>
      <w:r>
        <w:rPr>
          <w:rFonts w:hint="eastAsia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为临床提供更多的检验项目，提高血液病的诊疗水平。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宋体" w:hAnsi="宋体" w:cs="宋体"/>
          <w:sz w:val="28"/>
          <w:szCs w:val="28"/>
        </w:rPr>
      </w:pPr>
      <w:bookmarkStart w:id="0" w:name="_Toc17711"/>
      <w:r>
        <w:rPr>
          <w:rFonts w:hint="eastAsia" w:ascii="宋体" w:hAnsi="宋体" w:cs="宋体"/>
          <w:sz w:val="28"/>
          <w:szCs w:val="28"/>
        </w:rPr>
        <w:t>项目概况</w:t>
      </w:r>
      <w:bookmarkEnd w:id="0"/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1.项目名称：血液病相关检测项目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2.项目年度预算：70万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3.预计年检测数量：2500</w:t>
      </w:r>
    </w:p>
    <w:p>
      <w:pPr>
        <w:spacing w:line="276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4.服务期限：3年</w:t>
      </w:r>
      <w:r>
        <w:rPr>
          <w:rFonts w:hint="eastAsia" w:ascii="宋体" w:hAnsi="宋体" w:cs="宋体"/>
          <w:sz w:val="28"/>
          <w:szCs w:val="28"/>
          <w:lang w:eastAsia="zh-CN"/>
        </w:rPr>
        <w:t>（合同每年一签，服务满意，合同可顺延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2次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rPr>
          <w:rFonts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  <w:highlight w:val="yellow"/>
        </w:rPr>
        <w:t>检测项目目录</w:t>
      </w:r>
    </w:p>
    <w:tbl>
      <w:tblPr>
        <w:tblStyle w:val="21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93"/>
        <w:gridCol w:w="1347"/>
        <w:gridCol w:w="1566"/>
        <w:gridCol w:w="1494"/>
        <w:gridCol w:w="89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检测项目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检测方法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报告时间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收费编码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left="281" w:hanging="281" w:hangingChars="10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</w:rPr>
              <w:t>普乐可复(他克莫司)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串联质谱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</w:rPr>
              <w:t>250309005-4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</w:rPr>
              <w:t>266.8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</w:rPr>
              <w:t>甲氨喋呤(MTX)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荧光偏振免疫分析法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周一至周五检测，次日出报告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</w:rPr>
              <w:t>250309005-4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</w:rPr>
              <w:t>266.8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心肌病相关基因测序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二代测序+MLPA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4-5周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270700003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心肌病相关基因测序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二代测序+MLPA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4-5周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270700003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心肌病相关基因测序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二代测序+MLPA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4-5周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270700003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心脏离子通道病相关基因测序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二代测序+MLPA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4-5周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270700003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心脏离子通道病相关基因测序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二代测序+MLPA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4-5周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270700003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微小残留白血病15CD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流式细胞仪法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1-2天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250401031（15次）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662.4元（55.2每个抗原）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微小残留白血病28CD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流式细胞仪法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1-2天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250401031（28次）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1236.48元（55.2每个抗原）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AML</w:t>
            </w:r>
            <w:r>
              <w:rPr>
                <w:rStyle w:val="36"/>
                <w:rFonts w:hint="default"/>
              </w:rPr>
              <w:t>常见基因突变（</w:t>
            </w:r>
            <w:r>
              <w:rPr>
                <w:rStyle w:val="37"/>
              </w:rPr>
              <w:t>4</w:t>
            </w:r>
            <w:r>
              <w:rPr>
                <w:rStyle w:val="36"/>
                <w:rFonts w:hint="default"/>
              </w:rPr>
              <w:t>基因：NPM1,FLT3-ITD,CEBPA,C-KIT）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270700003（8次）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AML基因突变检测panel（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MPN常见基因突变套餐4基因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270700003（10次）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MDS基因突变检测panel(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基因)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MDS-MPN预后套餐检测（30基因）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270700003（18次）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JMML中基因突变检测Panel（12基因）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CMML基因突变检测panel（22基因） 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髓系肿瘤基因突变谱(NGS,99基因)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270700003（24次）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淋巴瘤基因突变谱(NGS,88基因)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270700003（24次）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ALL/LBL基因突变检测Panel（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AA基因突变检测Panel（5基因）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270700003（11次）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PMF基因突变检测Panel（11基因）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CLL/SLL基因突变检测Panel（8基因）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HCL基因突变检测Panel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LPL/WM基因突变检测Panel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成熟B淋巴瘤基因突变检测Panel（33基因）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成熟T/NK淋巴瘤基因突变检测Panel（30基因）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7-10天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270700003（16次）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BCR-ABL</w:t>
            </w:r>
            <w:r>
              <w:rPr>
                <w:rStyle w:val="36"/>
                <w:rFonts w:hint="default"/>
              </w:rPr>
              <w:t>融合基因</w:t>
            </w:r>
            <w:r>
              <w:rPr>
                <w:rStyle w:val="37"/>
              </w:rPr>
              <w:t>ABL</w:t>
            </w:r>
            <w:r>
              <w:rPr>
                <w:rStyle w:val="36"/>
                <w:rFonts w:hint="default"/>
              </w:rPr>
              <w:t>激酶区突变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270700003（3次）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ASXL1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ETV6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EZH2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NOTCH1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RUNX1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SF3B1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TP53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IKZF1</w:t>
            </w:r>
            <w:r>
              <w:rPr>
                <w:rStyle w:val="36"/>
                <w:rFonts w:hint="default"/>
              </w:rPr>
              <w:t>突变</w:t>
            </w:r>
            <w:r>
              <w:rPr>
                <w:rStyle w:val="37"/>
              </w:rPr>
              <w:t>(</w:t>
            </w:r>
            <w:r>
              <w:rPr>
                <w:rStyle w:val="36"/>
                <w:rFonts w:hint="default"/>
              </w:rPr>
              <w:t>缺失</w:t>
            </w:r>
            <w:r>
              <w:rPr>
                <w:rStyle w:val="37"/>
              </w:rPr>
              <w:t>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250700017-1（6次）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CBF-AML</w:t>
            </w:r>
            <w:r>
              <w:rPr>
                <w:rStyle w:val="36"/>
                <w:rFonts w:hint="default"/>
              </w:rPr>
              <w:t>中</w:t>
            </w:r>
            <w:r>
              <w:rPr>
                <w:rStyle w:val="38"/>
              </w:rPr>
              <w:t>c-kit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  (4次)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CEBPA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  (4次)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 xml:space="preserve">DNMT3A  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 xml:space="preserve">IDH1/IDH2  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JAK2</w:t>
            </w:r>
            <w:r>
              <w:rPr>
                <w:rStyle w:val="36"/>
                <w:rFonts w:hint="default"/>
              </w:rPr>
              <w:t>外显子</w:t>
            </w:r>
            <w:r>
              <w:rPr>
                <w:rStyle w:val="37"/>
              </w:rPr>
              <w:t>12</w:t>
            </w:r>
            <w:r>
              <w:rPr>
                <w:rStyle w:val="36"/>
                <w:rFonts w:hint="default"/>
              </w:rPr>
              <w:t>和</w:t>
            </w:r>
            <w:r>
              <w:rPr>
                <w:rStyle w:val="37"/>
              </w:rPr>
              <w:t>13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 xml:space="preserve">WT1 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270700003（4次）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CALR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c-kit</w:t>
            </w:r>
            <w:r>
              <w:rPr>
                <w:rStyle w:val="36"/>
                <w:rFonts w:hint="default"/>
              </w:rPr>
              <w:t>（D816）突变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  (2次)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FLT3/D835 (TKD</w:t>
            </w:r>
            <w:r>
              <w:rPr>
                <w:rStyle w:val="36"/>
                <w:rFonts w:hint="default"/>
              </w:rPr>
              <w:t>区</w:t>
            </w:r>
            <w:r>
              <w:rPr>
                <w:rStyle w:val="37"/>
              </w:rPr>
              <w:t xml:space="preserve">) </w:t>
            </w:r>
            <w:r>
              <w:rPr>
                <w:rStyle w:val="36"/>
                <w:rFonts w:hint="default"/>
              </w:rPr>
              <w:t>基因</w:t>
            </w:r>
            <w:r>
              <w:rPr>
                <w:rStyle w:val="37"/>
              </w:rPr>
              <w:t>(exon14-15)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  (2次)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MPL</w:t>
            </w:r>
            <w:r>
              <w:rPr>
                <w:rStyle w:val="36"/>
                <w:rFonts w:hint="default"/>
              </w:rPr>
              <w:t>突变（W515）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37"/>
              </w:rPr>
              <w:t>NPM1(exon12)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  (2次)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36"/>
                <w:rFonts w:hint="default"/>
              </w:rPr>
              <w:t>毛细胞白血病(</w:t>
            </w:r>
            <w:r>
              <w:rPr>
                <w:rStyle w:val="37"/>
              </w:rPr>
              <w:t>HCL)BRAF-V600E</w:t>
            </w:r>
            <w:r>
              <w:rPr>
                <w:rStyle w:val="36"/>
                <w:rFonts w:hint="default"/>
              </w:rPr>
              <w:t>突变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270700003（2次）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骨髓染色体核型分析（肿瘤）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染色体培养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7-15天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250700014*1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X,Y染色体分析(CEP X/Y,FISH)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TEL-AML1(ETV6-RUNX1)融合基因(FISH)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RB1(13q14)基因缺失(FISH)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PML-RARA融合基因(FISH)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PDGFRβ基因重排(FISH)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PDGFRa基因重排(FIP1L1/CHIC2/PDGFRa,FISH)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p53基因(17p13.1)缺失(FISH)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MYC基因重排(FISH)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MLL(11q23)基因重排(FISH)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IGH/MAF融合基因(FISH)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IGH/FGFR3融合基因(FISH)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IGH/CCND1融合基因(FISH)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IGH/BCL2融合基因检测(FISH)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 基因重排检测(FISH)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FGFR1基因(8p11)重排(FISH)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E2A(TCF3)基因重排(FISH)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CKS1B(1q21)基因扩增（FISH)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CBFβ基因重排检测(FISH)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BCR/ABL1融合基因(FISH)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ATM基因(11q22)缺失(FISH)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AML1/ETO(RUNX1-RUNX1T1)融合基因(FISH)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7q-(-7/del(7q),FISH)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5q-(-5/del(5q),FISH)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20q-(del(20q),FISH)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13q14.3/13q34(D13S319/13q34,FISH)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+8(CEP8,FISH)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+12(CEP12,FISH)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CBFβ-MYH11融合基因定量(RQ-PCR)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E2A-PBX1融合基因定量(RQ-PCR)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EVI1基因表达(RQ-PCR)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JAK2-V617F基因突变(定量)　                                  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MLL-AF4融合基因定量(RQ-PCR)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PML/RARα 定量(L型)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PML/RARα 定量(S型)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PML/RARα 定量(V型)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SIL-TAL1定量(RQ-PCR)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TCRB基因重排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TCRD基因重排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T细胞克隆性评估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250700017-3(3次)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B细胞克隆性评估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250700017-3(3次)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TEL-AML1融合基因定量(RQ-PCR)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WT1 (定量)   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BCR/ABL1（分型+定量）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250700017-3（2次）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BCR/ABL分型（定性）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BCR/ABL定量（p210）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BCR/ABL定量（p190）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融合基因AML1/ETO(定量)                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PML/RARα（分型+定量）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250700017-3（2次）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PML/RARα 融合基因（定性）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白血病43种融合基因筛查（套餐）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250700017-3（5次）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髓系白血病中常见融合基因（套餐）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250700017-3(3次)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淋系白血病中常见融合基因（套餐）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250700017-3(3次)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血清免疫固定电泳 (IgA、IgG、IgM)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电泳法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250301005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血清免疫固定电泳(IgD+IgE) 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电泳法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250301005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NK细胞淋巴瘤/白血病相关抗原检测(25CD),流式细胞术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2-3天(少数疑难病例3-4天)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250401031（25次）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1104.00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毛细胞白血病流式检测(15CD),流式细胞术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2-3天(少数疑难病例3-4天)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250401031（15次）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MM MRD检测（15CD） 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2-3天(少数疑难病例3-4天)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250401031（15次）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CLL流式预后标记检测（15CD,含有ZAP-70、CD38和CD49d）,流式细胞术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2-3天(少数疑难病例3-4天)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250401031（15次）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WT1基因定量检测(RQ-PCR)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MLL-AF6(KMT2A-MLLT4)融合基因定量检测(RQ-PCR)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荧光定量PCR法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250700017-3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血清免疫固定电泳(DYIF)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琼脂糖凝胶电泳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250301005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尿蛋白电泳定量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化学发光法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周二至周日，2个工作日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250307010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EMA 流式检测（遗传性球形红细胞增多症流式检测）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2-3天(少数疑难病例3-4天)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250401031（7次）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外周血T淋巴细胞亚群(百分比)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周二至周五、周日检测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250401031(3次)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外周血T淋巴细胞亚群(百分比+绝对计数)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2-3个工作日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270200003(5 次 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外周血NK细胞 (CD3-CD16+或CD56+)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250401031(2次)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外周血B淋巴细胞(CD3-CD19+)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250401031(2次)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外周血NK细胞、B细胞绝对计数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250401031(10次)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自身免疫性淋巴细胞增生症(ALPS)流式筛查,流式细胞术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流式细胞术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250401031(10次)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血友病筛查四项(F VIII:C,F IX:C,APTT,PT)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凝固法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2-5 工作日 ( 周六、日 休息 ) 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250203031-2(2次)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250203025-2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250203020-2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267.72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易栓症A（PT,APTT,Fib,LA)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凝固法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250203055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250203025-2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250203030-2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250203020-2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易栓症B（PC,AT-Ⅲ)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凝固法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250203047-2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250203051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血栓前四项(PIC、tPAI.C、TAT、TM)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化学发光法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每天检测，2工作日出结果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250203057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250203064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250203060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250203049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人血小板生成素，ELISA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ELASA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每周五检测，次日发单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250309005-4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VIII因子抑制物定量测定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凝固法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2-5 工作日 ( 周六、日 休息 ) 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250203031-2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250203033-2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可溶性CD25(sCD25)水平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酶联免疫吸附法(ELISA)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周二、周五检测，次日出报告；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TAT：4-6天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250401031（11次）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高通量细胞因子检测（34个）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Luminex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周二检测，周四出报告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250401031（37次）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2042.40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感染EBV的淋巴细胞亚群检测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磁珠分选联合qPCR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周一、二、四、五检测，7-9个工作日出报告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250700017-3（8次）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3827.20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NK细胞活性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转染荧光细胞株结合流式细胞技术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周一至周五检测，次日出报告；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TAT：4天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250401031（33次）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1821.60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家族性噬血细胞综合征及相关免疫缺陷基因突变检测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NGS+MLPA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10-15天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270700003（18次）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噬血细胞综合征套餐[NK细胞活性，sCD25,家族性噬血细胞综合征相关基因检测套餐（NGS+MLPA）]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转染荧光细胞株结合流式细胞技术；NGS+MLPA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NK细胞活性：周一至周五检测，次日出报告；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sCD25：周二、周五检测，次日出报告；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TAT：4天；4-6天；10-15天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270700003（22次）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5060.00</w:t>
            </w:r>
          </w:p>
        </w:tc>
      </w:tr>
    </w:tbl>
    <w:p>
      <w:pPr>
        <w:pStyle w:val="3"/>
        <w:spacing w:before="340" w:after="330"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</w:rPr>
        <w:t>、</w:t>
      </w:r>
      <w:r>
        <w:rPr>
          <w:rFonts w:hint="eastAsia" w:ascii="宋体" w:hAnsi="宋体" w:cs="宋体"/>
          <w:sz w:val="28"/>
          <w:szCs w:val="28"/>
        </w:rPr>
        <w:t>技术要求</w:t>
      </w:r>
    </w:p>
    <w:p>
      <w:pPr>
        <w:pStyle w:val="3"/>
        <w:numPr>
          <w:ilvl w:val="0"/>
          <w:numId w:val="4"/>
        </w:numPr>
        <w:spacing w:line="360" w:lineRule="exact"/>
        <w:rPr>
          <w:rFonts w:hint="eastAsia" w:ascii="inherit" w:hAnsi="inherit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技术要求</w:t>
      </w:r>
      <w:r>
        <w:rPr>
          <w:rFonts w:hint="eastAsia" w:ascii="inherit" w:hAnsi="inherit" w:cs="宋体"/>
          <w:b w:val="0"/>
          <w:color w:val="000000"/>
          <w:kern w:val="0"/>
          <w:sz w:val="24"/>
          <w:szCs w:val="24"/>
          <w:lang w:eastAsia="zh-CN"/>
        </w:rPr>
        <w:t>报价人</w:t>
      </w:r>
      <w:r>
        <w:rPr>
          <w:rFonts w:hint="eastAsia" w:ascii="inherit" w:hAnsi="inherit" w:cs="宋体"/>
          <w:b w:val="0"/>
          <w:color w:val="000000"/>
          <w:kern w:val="0"/>
          <w:sz w:val="24"/>
          <w:szCs w:val="24"/>
        </w:rPr>
        <w:t>必须具备开展该项目的医疗资质，包括《医疗机构执业许可》和《临床基因扩增实验室》。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需提供广州市内不少于5家三甲医院合同或发票复印件。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拥有开展该检测项目的技术优势，具备经认定的“国家高新技术企业”资质，具有省级或以上科技部门认定的“个体化医学工程技术研究中心”。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具备该检测项目的技术创新能力，具有独立承担省级及以上相相关项目科技专项的经验，具有持续提升该项目的研发和产业化经验。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具有中央和地方共建的“个体化医学公开服务平台”。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必须具备足够的经营实力，全国连锁经营实验室不得少于四家。</w:t>
      </w:r>
    </w:p>
    <w:p>
      <w:pPr>
        <w:numPr>
          <w:ilvl w:val="0"/>
          <w:numId w:val="4"/>
        </w:numPr>
        <w:spacing w:line="360" w:lineRule="exact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Theme="minorEastAsia" w:hAnsiTheme="minorEastAsia"/>
          <w:sz w:val="24"/>
          <w:szCs w:val="24"/>
        </w:rPr>
        <w:t>应积极配合完成报告信息系统对接，对接完成后可直接在医院List系统上查看并打印检验检测报告，具体的对接工作及费用由</w:t>
      </w:r>
      <w:r>
        <w:rPr>
          <w:rFonts w:hint="eastAsia" w:ascii="inherit" w:hAnsi="inherit" w:cs="宋体"/>
          <w:color w:val="000000"/>
          <w:kern w:val="0"/>
          <w:sz w:val="24"/>
          <w:szCs w:val="24"/>
          <w:lang w:eastAsia="zh-CN"/>
        </w:rPr>
        <w:t>报价人</w:t>
      </w:r>
      <w:r>
        <w:rPr>
          <w:rFonts w:hint="eastAsia" w:asciiTheme="minorEastAsia" w:hAnsiTheme="minorEastAsia"/>
          <w:sz w:val="24"/>
          <w:szCs w:val="24"/>
        </w:rPr>
        <w:t>承担，如有必要双方再对具体的内容另行签署补充相关协议。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具有全面质量管理体系</w:t>
      </w:r>
    </w:p>
    <w:p>
      <w:pPr>
        <w:pStyle w:val="42"/>
        <w:spacing w:line="360" w:lineRule="exact"/>
        <w:ind w:left="360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a)参加五年以上</w:t>
      </w:r>
      <w:r>
        <w:rPr>
          <w:rFonts w:ascii="inherit" w:hAnsi="inherit" w:cs="宋体"/>
          <w:color w:val="000000"/>
          <w:kern w:val="0"/>
          <w:sz w:val="24"/>
          <w:szCs w:val="23"/>
        </w:rPr>
        <w:t>室间质量评价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活动检测的经验，结果必须全部100%符合，每次</w:t>
      </w:r>
      <w:r>
        <w:rPr>
          <w:rFonts w:ascii="inherit" w:hAnsi="inherit" w:cs="宋体"/>
          <w:color w:val="000000"/>
          <w:kern w:val="0"/>
          <w:sz w:val="24"/>
          <w:szCs w:val="23"/>
        </w:rPr>
        <w:t>PT成绩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均为</w:t>
      </w:r>
      <w:r>
        <w:rPr>
          <w:rFonts w:ascii="inherit" w:hAnsi="inherit" w:cs="宋体"/>
          <w:color w:val="000000"/>
          <w:kern w:val="0"/>
          <w:sz w:val="24"/>
          <w:szCs w:val="23"/>
        </w:rPr>
        <w:t>100分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。具备参加三年以上国际室间质量评价，检测结果必须100%符合。</w:t>
      </w:r>
    </w:p>
    <w:p>
      <w:pPr>
        <w:pStyle w:val="42"/>
        <w:spacing w:line="360" w:lineRule="exact"/>
        <w:ind w:left="359" w:leftChars="171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b)</w:t>
      </w: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ascii="inherit" w:hAnsi="inherit" w:cs="宋体"/>
          <w:color w:val="000000"/>
          <w:kern w:val="0"/>
          <w:sz w:val="24"/>
          <w:szCs w:val="23"/>
        </w:rPr>
        <w:t>委托项目均按日或检测批次进行室内质控，按季度提供室内质量控制报表，其内容包括质控检测数据、控制标准、质控分析、失控报告。按用户要求，随时提供质量和技术资料，如更换试剂批号、仪器维修后、检验系统更换后的质控记录和性能验证报告。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并</w:t>
      </w:r>
      <w:r>
        <w:rPr>
          <w:rFonts w:ascii="inherit" w:hAnsi="inherit" w:cs="宋体"/>
          <w:color w:val="000000"/>
          <w:kern w:val="0"/>
          <w:sz w:val="24"/>
          <w:szCs w:val="23"/>
        </w:rPr>
        <w:t>随时接受并妥善安排用户查阅项目检测、质量控制等情况。</w:t>
      </w:r>
    </w:p>
    <w:p>
      <w:pPr>
        <w:pStyle w:val="42"/>
        <w:spacing w:line="360" w:lineRule="exact"/>
        <w:ind w:left="360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c)</w:t>
      </w: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ascii="inherit" w:hAnsi="inherit" w:cs="宋体"/>
          <w:color w:val="000000"/>
          <w:kern w:val="0"/>
          <w:sz w:val="24"/>
          <w:szCs w:val="23"/>
        </w:rPr>
        <w:t>有专人负责用户业务及质量、技术、培训等工作。</w:t>
      </w:r>
    </w:p>
    <w:p>
      <w:pPr>
        <w:pStyle w:val="3"/>
        <w:numPr>
          <w:ilvl w:val="0"/>
          <w:numId w:val="2"/>
        </w:numPr>
        <w:spacing w:before="340" w:after="330" w:line="360" w:lineRule="auto"/>
        <w:rPr>
          <w:rFonts w:ascii="宋体" w:hAnsi="宋体" w:cs="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服务要求</w:t>
      </w:r>
    </w:p>
    <w:p>
      <w:pPr>
        <w:pStyle w:val="42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有能力提供免费的物流服务，按双方约定要求收检标本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42"/>
        <w:spacing w:line="360" w:lineRule="exact"/>
        <w:ind w:left="785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对样本运输的要求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临床科室采集样本后，由委托检测机构派专人到指定地点接收并保证物流运输。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样本前处理视检测项目要求与我院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检验科</w:t>
      </w:r>
      <w:r>
        <w:rPr>
          <w:rFonts w:ascii="inherit" w:hAnsi="inherit" w:cs="宋体"/>
          <w:color w:val="000000"/>
          <w:kern w:val="0"/>
          <w:sz w:val="24"/>
          <w:szCs w:val="23"/>
        </w:rPr>
        <w:t>具体商定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样本运输要求确保运输过程的样品质量和环境安全。对于需低温冷冻或有特殊要求的样本视具体项目与我院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检验科商定。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委托检验机构接收后不合格样本&lt;1/1000。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具备规范标本接收、登记和包装流程，保证标本质量和安全，确保标本顺利交接，方便查核。标本接收人员负责标本质量的初检、标识的核对，标本的接收登记及包装储存。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严格遵守临床诊疗技术规范，严格执行</w:t>
      </w:r>
      <w:r>
        <w:rPr>
          <w:rFonts w:hint="eastAsia" w:asciiTheme="minorEastAsia" w:hAnsiTheme="minorEastAsia"/>
          <w:sz w:val="24"/>
          <w:szCs w:val="24"/>
        </w:rPr>
        <w:t>《广东省非营利性医疗机构收费标准》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等规定，全权负责并确保项目定价的合法合规。</w:t>
      </w:r>
      <w:r>
        <w:rPr>
          <w:rFonts w:ascii="inherit" w:hAnsi="inherit" w:cs="宋体"/>
          <w:color w:val="000000"/>
          <w:kern w:val="0"/>
          <w:sz w:val="24"/>
          <w:szCs w:val="23"/>
        </w:rPr>
        <w:t>并对检验报告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准确性</w:t>
      </w:r>
      <w:r>
        <w:rPr>
          <w:rFonts w:ascii="inherit" w:hAnsi="inherit" w:cs="宋体"/>
          <w:color w:val="000000"/>
          <w:kern w:val="0"/>
          <w:sz w:val="24"/>
          <w:szCs w:val="23"/>
        </w:rPr>
        <w:t>承担相应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责任。</w:t>
      </w:r>
    </w:p>
    <w:p>
      <w:pPr>
        <w:pStyle w:val="42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有为用户保密的义务，未经同意不得泄露委托检验的项目、检验的内容、检验的结果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42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检测样本、检测数据的所有权、使用权为用户所有，未经许可不得挪作它用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  <w:r>
        <w:rPr>
          <w:rFonts w:ascii="inherit" w:hAnsi="inherit" w:cs="宋体"/>
          <w:color w:val="000000"/>
          <w:kern w:val="0"/>
          <w:sz w:val="24"/>
          <w:szCs w:val="23"/>
        </w:rPr>
        <w:t>能够按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用户</w:t>
      </w:r>
      <w:r>
        <w:rPr>
          <w:rFonts w:ascii="inherit" w:hAnsi="inherit" w:cs="宋体"/>
          <w:color w:val="000000"/>
          <w:kern w:val="0"/>
          <w:sz w:val="24"/>
          <w:szCs w:val="23"/>
        </w:rPr>
        <w:t>要求妥善保存及销毁检验后样本。</w:t>
      </w:r>
    </w:p>
    <w:p>
      <w:pPr>
        <w:pStyle w:val="39"/>
        <w:spacing w:line="360" w:lineRule="auto"/>
        <w:ind w:left="850" w:leftChars="204" w:hanging="422" w:hangingChars="17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4、每年提供1-5次省级或以上学术会议的邀请，每次提供不少于5个参会名额。</w:t>
      </w:r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bookmarkStart w:id="1" w:name="_GoBack"/>
      <w:bookmarkEnd w:id="1"/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73CDC"/>
    <w:multiLevelType w:val="singleLevel"/>
    <w:tmpl w:val="81E73CD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08B715DD"/>
    <w:multiLevelType w:val="multilevel"/>
    <w:tmpl w:val="08B715DD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64" w:hanging="420"/>
      </w:pPr>
    </w:lvl>
    <w:lvl w:ilvl="2" w:tentative="0">
      <w:start w:val="1"/>
      <w:numFmt w:val="lowerRoman"/>
      <w:lvlText w:val="%3."/>
      <w:lvlJc w:val="right"/>
      <w:pPr>
        <w:ind w:left="1284" w:hanging="420"/>
      </w:pPr>
    </w:lvl>
    <w:lvl w:ilvl="3" w:tentative="0">
      <w:start w:val="1"/>
      <w:numFmt w:val="decimal"/>
      <w:lvlText w:val="%4."/>
      <w:lvlJc w:val="left"/>
      <w:pPr>
        <w:ind w:left="1704" w:hanging="420"/>
      </w:pPr>
    </w:lvl>
    <w:lvl w:ilvl="4" w:tentative="0">
      <w:start w:val="1"/>
      <w:numFmt w:val="lowerLetter"/>
      <w:lvlText w:val="%5)"/>
      <w:lvlJc w:val="left"/>
      <w:pPr>
        <w:ind w:left="2124" w:hanging="420"/>
      </w:pPr>
    </w:lvl>
    <w:lvl w:ilvl="5" w:tentative="0">
      <w:start w:val="1"/>
      <w:numFmt w:val="lowerRoman"/>
      <w:lvlText w:val="%6."/>
      <w:lvlJc w:val="right"/>
      <w:pPr>
        <w:ind w:left="2544" w:hanging="420"/>
      </w:pPr>
    </w:lvl>
    <w:lvl w:ilvl="6" w:tentative="0">
      <w:start w:val="1"/>
      <w:numFmt w:val="decimal"/>
      <w:lvlText w:val="%7."/>
      <w:lvlJc w:val="left"/>
      <w:pPr>
        <w:ind w:left="2964" w:hanging="420"/>
      </w:pPr>
    </w:lvl>
    <w:lvl w:ilvl="7" w:tentative="0">
      <w:start w:val="1"/>
      <w:numFmt w:val="lowerLetter"/>
      <w:lvlText w:val="%8)"/>
      <w:lvlJc w:val="left"/>
      <w:pPr>
        <w:ind w:left="3384" w:hanging="420"/>
      </w:pPr>
    </w:lvl>
    <w:lvl w:ilvl="8" w:tentative="0">
      <w:start w:val="1"/>
      <w:numFmt w:val="lowerRoman"/>
      <w:lvlText w:val="%9."/>
      <w:lvlJc w:val="right"/>
      <w:pPr>
        <w:ind w:left="3804" w:hanging="420"/>
      </w:pPr>
    </w:lvl>
  </w:abstractNum>
  <w:abstractNum w:abstractNumId="2">
    <w:nsid w:val="0DA63F4E"/>
    <w:multiLevelType w:val="multilevel"/>
    <w:tmpl w:val="0DA63F4E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abstractNum w:abstractNumId="3">
    <w:nsid w:val="5D132B28"/>
    <w:multiLevelType w:val="singleLevel"/>
    <w:tmpl w:val="5D132B28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D4D2C0B"/>
    <w:multiLevelType w:val="singleLevel"/>
    <w:tmpl w:val="5D4D2C0B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64B1225D"/>
    <w:multiLevelType w:val="multilevel"/>
    <w:tmpl w:val="64B1225D"/>
    <w:lvl w:ilvl="0" w:tentative="0">
      <w:start w:val="1"/>
      <w:numFmt w:val="decimal"/>
      <w:suff w:val="nothing"/>
      <w:lvlText w:val="%1、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872"/>
    <w:rsid w:val="000270CF"/>
    <w:rsid w:val="00031FFC"/>
    <w:rsid w:val="00036D21"/>
    <w:rsid w:val="00040D5A"/>
    <w:rsid w:val="000445E2"/>
    <w:rsid w:val="000524B8"/>
    <w:rsid w:val="00057FAA"/>
    <w:rsid w:val="00080506"/>
    <w:rsid w:val="00093AC9"/>
    <w:rsid w:val="00097194"/>
    <w:rsid w:val="000B5DBD"/>
    <w:rsid w:val="000B7A83"/>
    <w:rsid w:val="000C6A7E"/>
    <w:rsid w:val="000D6FAF"/>
    <w:rsid w:val="000E198D"/>
    <w:rsid w:val="000F125A"/>
    <w:rsid w:val="000F1B8A"/>
    <w:rsid w:val="00105E57"/>
    <w:rsid w:val="00145F20"/>
    <w:rsid w:val="00167EEE"/>
    <w:rsid w:val="00172FAC"/>
    <w:rsid w:val="001914C9"/>
    <w:rsid w:val="001A3F3C"/>
    <w:rsid w:val="001B5D2A"/>
    <w:rsid w:val="001B6F7E"/>
    <w:rsid w:val="001D3F30"/>
    <w:rsid w:val="001E1952"/>
    <w:rsid w:val="001F05FB"/>
    <w:rsid w:val="0020106D"/>
    <w:rsid w:val="002111B1"/>
    <w:rsid w:val="002130A4"/>
    <w:rsid w:val="00214CB5"/>
    <w:rsid w:val="002212B8"/>
    <w:rsid w:val="00224EC5"/>
    <w:rsid w:val="002258DF"/>
    <w:rsid w:val="002419D5"/>
    <w:rsid w:val="00253DE4"/>
    <w:rsid w:val="00282A75"/>
    <w:rsid w:val="002A0428"/>
    <w:rsid w:val="002A7FBF"/>
    <w:rsid w:val="002D169A"/>
    <w:rsid w:val="002D609B"/>
    <w:rsid w:val="002F308B"/>
    <w:rsid w:val="002F66C6"/>
    <w:rsid w:val="003042ED"/>
    <w:rsid w:val="00312CD8"/>
    <w:rsid w:val="003379EB"/>
    <w:rsid w:val="00340791"/>
    <w:rsid w:val="00343A0A"/>
    <w:rsid w:val="00356472"/>
    <w:rsid w:val="00360C8F"/>
    <w:rsid w:val="0036483D"/>
    <w:rsid w:val="0037164D"/>
    <w:rsid w:val="0037735A"/>
    <w:rsid w:val="003A1D43"/>
    <w:rsid w:val="003A6CBC"/>
    <w:rsid w:val="00405739"/>
    <w:rsid w:val="004131E7"/>
    <w:rsid w:val="00445506"/>
    <w:rsid w:val="004510EA"/>
    <w:rsid w:val="004548DC"/>
    <w:rsid w:val="004621D5"/>
    <w:rsid w:val="00465115"/>
    <w:rsid w:val="00472BCD"/>
    <w:rsid w:val="00473403"/>
    <w:rsid w:val="004E2169"/>
    <w:rsid w:val="00556D26"/>
    <w:rsid w:val="005652A4"/>
    <w:rsid w:val="00576FE9"/>
    <w:rsid w:val="005A0E64"/>
    <w:rsid w:val="005B30E1"/>
    <w:rsid w:val="005F24E0"/>
    <w:rsid w:val="00621119"/>
    <w:rsid w:val="006323EC"/>
    <w:rsid w:val="00641040"/>
    <w:rsid w:val="0064716F"/>
    <w:rsid w:val="00647FBE"/>
    <w:rsid w:val="0065469C"/>
    <w:rsid w:val="0069102F"/>
    <w:rsid w:val="006C2F7A"/>
    <w:rsid w:val="006D6500"/>
    <w:rsid w:val="006D6616"/>
    <w:rsid w:val="006E0082"/>
    <w:rsid w:val="006E09B3"/>
    <w:rsid w:val="006E3332"/>
    <w:rsid w:val="006F139B"/>
    <w:rsid w:val="006F4CD1"/>
    <w:rsid w:val="006F5FA7"/>
    <w:rsid w:val="006F68C6"/>
    <w:rsid w:val="007150FA"/>
    <w:rsid w:val="00717F7D"/>
    <w:rsid w:val="00726506"/>
    <w:rsid w:val="00743D57"/>
    <w:rsid w:val="00750869"/>
    <w:rsid w:val="007643EF"/>
    <w:rsid w:val="007833D4"/>
    <w:rsid w:val="007C4FB9"/>
    <w:rsid w:val="007C5B54"/>
    <w:rsid w:val="007E18C8"/>
    <w:rsid w:val="008249F8"/>
    <w:rsid w:val="0082609F"/>
    <w:rsid w:val="00827867"/>
    <w:rsid w:val="00832DCB"/>
    <w:rsid w:val="008705FE"/>
    <w:rsid w:val="0087130F"/>
    <w:rsid w:val="008751BE"/>
    <w:rsid w:val="0087634A"/>
    <w:rsid w:val="0088654C"/>
    <w:rsid w:val="008C3596"/>
    <w:rsid w:val="008D1DFB"/>
    <w:rsid w:val="008F3E4D"/>
    <w:rsid w:val="00903360"/>
    <w:rsid w:val="00917161"/>
    <w:rsid w:val="00931D7F"/>
    <w:rsid w:val="009465F4"/>
    <w:rsid w:val="00967872"/>
    <w:rsid w:val="00971B5B"/>
    <w:rsid w:val="0098076F"/>
    <w:rsid w:val="00997691"/>
    <w:rsid w:val="009B7959"/>
    <w:rsid w:val="009C7A90"/>
    <w:rsid w:val="009E2DA6"/>
    <w:rsid w:val="009F15F5"/>
    <w:rsid w:val="00A11049"/>
    <w:rsid w:val="00A1533B"/>
    <w:rsid w:val="00A31C1F"/>
    <w:rsid w:val="00A50D25"/>
    <w:rsid w:val="00A51FD5"/>
    <w:rsid w:val="00A547A9"/>
    <w:rsid w:val="00A6098F"/>
    <w:rsid w:val="00A61CC6"/>
    <w:rsid w:val="00A61E8C"/>
    <w:rsid w:val="00A668F1"/>
    <w:rsid w:val="00A7070D"/>
    <w:rsid w:val="00A85A9E"/>
    <w:rsid w:val="00A94E1D"/>
    <w:rsid w:val="00AD01C9"/>
    <w:rsid w:val="00AE73B0"/>
    <w:rsid w:val="00AF2121"/>
    <w:rsid w:val="00B17FAE"/>
    <w:rsid w:val="00B35AE6"/>
    <w:rsid w:val="00B47BED"/>
    <w:rsid w:val="00B70D7C"/>
    <w:rsid w:val="00B73C81"/>
    <w:rsid w:val="00B84AEF"/>
    <w:rsid w:val="00B85F94"/>
    <w:rsid w:val="00B970E0"/>
    <w:rsid w:val="00BA0E2B"/>
    <w:rsid w:val="00BB6217"/>
    <w:rsid w:val="00BC09C7"/>
    <w:rsid w:val="00BD390C"/>
    <w:rsid w:val="00BD4F88"/>
    <w:rsid w:val="00BF5F0A"/>
    <w:rsid w:val="00C15DF9"/>
    <w:rsid w:val="00C17931"/>
    <w:rsid w:val="00C5377E"/>
    <w:rsid w:val="00C62987"/>
    <w:rsid w:val="00C644B7"/>
    <w:rsid w:val="00C65184"/>
    <w:rsid w:val="00C71C85"/>
    <w:rsid w:val="00C941F8"/>
    <w:rsid w:val="00CA5EB8"/>
    <w:rsid w:val="00CB7BA9"/>
    <w:rsid w:val="00CC4EFB"/>
    <w:rsid w:val="00CC6B3E"/>
    <w:rsid w:val="00CC7F5B"/>
    <w:rsid w:val="00CD06D9"/>
    <w:rsid w:val="00CE574A"/>
    <w:rsid w:val="00CE780F"/>
    <w:rsid w:val="00CF30A0"/>
    <w:rsid w:val="00CF7095"/>
    <w:rsid w:val="00D05E97"/>
    <w:rsid w:val="00D30BF6"/>
    <w:rsid w:val="00D34952"/>
    <w:rsid w:val="00D3583A"/>
    <w:rsid w:val="00D374DF"/>
    <w:rsid w:val="00D66A4C"/>
    <w:rsid w:val="00D87AAA"/>
    <w:rsid w:val="00DA2559"/>
    <w:rsid w:val="00E02F97"/>
    <w:rsid w:val="00E0699C"/>
    <w:rsid w:val="00E23BB0"/>
    <w:rsid w:val="00E31E50"/>
    <w:rsid w:val="00E41E23"/>
    <w:rsid w:val="00E5715E"/>
    <w:rsid w:val="00EA0BED"/>
    <w:rsid w:val="00EA2A69"/>
    <w:rsid w:val="00EB0BC4"/>
    <w:rsid w:val="00ED4F83"/>
    <w:rsid w:val="00ED50E3"/>
    <w:rsid w:val="00ED73F1"/>
    <w:rsid w:val="00EE5F68"/>
    <w:rsid w:val="00EF0D47"/>
    <w:rsid w:val="00F30CD7"/>
    <w:rsid w:val="00F3266F"/>
    <w:rsid w:val="00F66649"/>
    <w:rsid w:val="00F842C8"/>
    <w:rsid w:val="00F94ADE"/>
    <w:rsid w:val="00FD299C"/>
    <w:rsid w:val="00FE6B06"/>
    <w:rsid w:val="086352D4"/>
    <w:rsid w:val="0D79395B"/>
    <w:rsid w:val="123C36A6"/>
    <w:rsid w:val="124628FB"/>
    <w:rsid w:val="16487ACC"/>
    <w:rsid w:val="169816F2"/>
    <w:rsid w:val="1A9F4CB3"/>
    <w:rsid w:val="2DB84FD5"/>
    <w:rsid w:val="37F57753"/>
    <w:rsid w:val="4DBA1EEE"/>
    <w:rsid w:val="56650130"/>
    <w:rsid w:val="57ED250A"/>
    <w:rsid w:val="59141452"/>
    <w:rsid w:val="5F243195"/>
    <w:rsid w:val="62246B74"/>
    <w:rsid w:val="63085638"/>
    <w:rsid w:val="6E354A25"/>
    <w:rsid w:val="700D6170"/>
    <w:rsid w:val="755F676F"/>
    <w:rsid w:val="760B509D"/>
    <w:rsid w:val="7A2A728F"/>
    <w:rsid w:val="7BF42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/>
      <w:tabs>
        <w:tab w:val="center" w:pos="0"/>
      </w:tabs>
      <w:ind w:left="784"/>
      <w:jc w:val="left"/>
    </w:pPr>
    <w:rPr>
      <w:kern w:val="0"/>
      <w:szCs w:val="20"/>
    </w:r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Normal Indent"/>
    <w:basedOn w:val="1"/>
    <w:link w:val="28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32"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tabs>
        <w:tab w:val="center" w:pos="0"/>
      </w:tabs>
      <w:spacing w:line="360" w:lineRule="auto"/>
    </w:pPr>
    <w:rPr>
      <w:rFonts w:ascii="仿宋_GB2312"/>
      <w:sz w:val="28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0">
    <w:name w:val="annotation subject"/>
    <w:basedOn w:val="7"/>
    <w:next w:val="7"/>
    <w:link w:val="33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character" w:styleId="25">
    <w:name w:val="annotation reference"/>
    <w:basedOn w:val="23"/>
    <w:unhideWhenUsed/>
    <w:qFormat/>
    <w:uiPriority w:val="99"/>
    <w:rPr>
      <w:sz w:val="21"/>
      <w:szCs w:val="21"/>
    </w:rPr>
  </w:style>
  <w:style w:type="character" w:customStyle="1" w:styleId="26">
    <w:name w:val="页眉 Char"/>
    <w:basedOn w:val="23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3"/>
    <w:link w:val="13"/>
    <w:qFormat/>
    <w:uiPriority w:val="99"/>
    <w:rPr>
      <w:sz w:val="18"/>
      <w:szCs w:val="18"/>
    </w:rPr>
  </w:style>
  <w:style w:type="character" w:customStyle="1" w:styleId="28">
    <w:name w:val="正文缩进 Char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">
    <w:name w:val="列表段落 字符"/>
    <w:link w:val="30"/>
    <w:qFormat/>
    <w:locked/>
    <w:uiPriority w:val="0"/>
    <w:rPr>
      <w:rFonts w:ascii="Calibri" w:hAnsi="Calibri"/>
    </w:rPr>
  </w:style>
  <w:style w:type="paragraph" w:customStyle="1" w:styleId="30">
    <w:name w:val="列出段落1"/>
    <w:basedOn w:val="1"/>
    <w:link w:val="29"/>
    <w:qFormat/>
    <w:uiPriority w:val="0"/>
    <w:pPr>
      <w:ind w:firstLine="420" w:firstLineChars="200"/>
    </w:pPr>
    <w:rPr>
      <w:rFonts w:eastAsiaTheme="minorEastAsia" w:cstheme="minorBidi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32">
    <w:name w:val="批注文字 Char"/>
    <w:basedOn w:val="23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3">
    <w:name w:val="批注主题 Char"/>
    <w:basedOn w:val="32"/>
    <w:link w:val="20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4">
    <w:name w:val="批注框文本 Char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5">
    <w:name w:val="列表段落1"/>
    <w:basedOn w:val="1"/>
    <w:qFormat/>
    <w:uiPriority w:val="34"/>
    <w:pPr>
      <w:ind w:firstLine="420" w:firstLineChars="200"/>
    </w:pPr>
  </w:style>
  <w:style w:type="character" w:customStyle="1" w:styleId="36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111"/>
    <w:basedOn w:val="23"/>
    <w:qFormat/>
    <w:uiPriority w:val="0"/>
    <w:rPr>
      <w:rFonts w:hint="default" w:ascii="Times New Roman" w:hAnsi="Times New Roman" w:cs="Times New Roman"/>
      <w:i/>
      <w:color w:val="000000"/>
      <w:sz w:val="22"/>
      <w:szCs w:val="22"/>
      <w:u w:val="none"/>
    </w:rPr>
  </w:style>
  <w:style w:type="paragraph" w:customStyle="1" w:styleId="39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_Style 17"/>
    <w:basedOn w:val="1"/>
    <w:next w:val="30"/>
    <w:qFormat/>
    <w:uiPriority w:val="34"/>
    <w:pPr>
      <w:tabs>
        <w:tab w:val="center" w:leader="middleDot" w:pos="0"/>
      </w:tabs>
      <w:ind w:firstLine="420" w:firstLineChars="200"/>
    </w:pPr>
    <w:rPr>
      <w:szCs w:val="24"/>
    </w:rPr>
  </w:style>
  <w:style w:type="paragraph" w:customStyle="1" w:styleId="41">
    <w:name w:val="A正文小四"/>
    <w:basedOn w:val="1"/>
    <w:qFormat/>
    <w:uiPriority w:val="0"/>
    <w:pPr>
      <w:tabs>
        <w:tab w:val="center" w:leader="middleDot" w:pos="0"/>
      </w:tabs>
      <w:spacing w:line="360" w:lineRule="auto"/>
      <w:ind w:firstLine="200" w:firstLineChars="200"/>
    </w:pPr>
    <w:rPr>
      <w:rFonts w:ascii="等线" w:hAnsi="等线" w:eastAsia="等线"/>
      <w:sz w:val="24"/>
      <w:szCs w:val="24"/>
    </w:rPr>
  </w:style>
  <w:style w:type="paragraph" w:customStyle="1" w:styleId="4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1254</Words>
  <Characters>7153</Characters>
  <Lines>59</Lines>
  <Paragraphs>16</Paragraphs>
  <TotalTime>52</TotalTime>
  <ScaleCrop>false</ScaleCrop>
  <LinksUpToDate>false</LinksUpToDate>
  <CharactersWithSpaces>8391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2017-08-09T09:56:00Z</dcterms:created>
  <dc:creator>钟老板</dc:creator>
  <cp:lastModifiedBy>胡玉兰</cp:lastModifiedBy>
  <cp:lastPrinted>2022-01-05T03:59:00Z</cp:lastPrinted>
  <dcterms:modified xsi:type="dcterms:W3CDTF">2022-01-14T01:52:53Z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9900AE93C0A24B6EBAF68855201A4940</vt:lpwstr>
  </property>
</Properties>
</file>