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南方医科大学第三附属医院</w:t>
      </w: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项目外包检测（</w:t>
      </w:r>
      <w:r>
        <w:rPr>
          <w:rFonts w:hint="eastAsia" w:ascii="宋体" w:hAnsi="宋体" w:cs="宋体"/>
          <w:bCs/>
          <w:sz w:val="32"/>
          <w:szCs w:val="32"/>
        </w:rPr>
        <w:t>循环肿瘤细胞分型、肿瘤基因</w:t>
      </w:r>
      <w:r>
        <w:rPr>
          <w:rFonts w:hint="eastAsia" w:ascii="宋体" w:hAnsi="宋体" w:cs="宋体"/>
          <w:sz w:val="32"/>
          <w:szCs w:val="32"/>
        </w:rPr>
        <w:t>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用户需求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4"/>
          <w:szCs w:val="24"/>
        </w:rPr>
        <w:br w:type="page"/>
      </w:r>
      <w:r>
        <w:rPr>
          <w:rFonts w:hint="eastAsia" w:ascii="宋体" w:hAnsi="宋体" w:cs="宋体"/>
          <w:b/>
          <w:sz w:val="24"/>
          <w:szCs w:val="24"/>
        </w:rPr>
        <w:t>一、</w:t>
      </w:r>
      <w:r>
        <w:rPr>
          <w:rFonts w:hint="eastAsia" w:ascii="宋体" w:hAnsi="宋体" w:cs="宋体"/>
          <w:sz w:val="28"/>
          <w:szCs w:val="28"/>
        </w:rPr>
        <w:t>项目申请理由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循环肿瘤细胞是从肿瘤病灶（原发灶或转移灶）脱落并进入外周血液循环的</w:t>
      </w:r>
      <w:r>
        <w:rPr>
          <w:rFonts w:hint="eastAsia" w:ascii="宋体" w:hAnsi="宋体" w:cs="宋体"/>
          <w:sz w:val="24"/>
          <w:u w:val="single"/>
        </w:rPr>
        <w:t>多种</w:t>
      </w:r>
      <w:r>
        <w:rPr>
          <w:rFonts w:ascii="宋体" w:hAnsi="宋体" w:cs="宋体"/>
          <w:sz w:val="24"/>
        </w:rPr>
        <w:t>肿瘤细胞，在肿瘤转移过程中发挥重要作用。CTC</w:t>
      </w:r>
      <w:r>
        <w:rPr>
          <w:rFonts w:hint="eastAsia" w:ascii="宋体" w:hAnsi="宋体" w:cs="宋体"/>
          <w:sz w:val="24"/>
        </w:rPr>
        <w:t>在肿瘤预后评估、临床疗效评价、转移复发监测、药物疗效预测等方面的应用已逐渐纳入各项指南。</w:t>
      </w:r>
    </w:p>
    <w:p>
      <w:pPr>
        <w:spacing w:line="360" w:lineRule="auto"/>
        <w:ind w:firstLine="480" w:firstLineChars="20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通过循环肿瘤细胞分型检测，全面实时监测肿瘤，深入了解肿瘤复发风险和转移潜能，实现肿瘤复发转移的早期预警；有助于及早评估治疗效果，提前预知治疗即将耐药从而实现治疗干预，优化现有治疗手段；从而更有效地推动肿瘤精准治疗，切实提高肿瘤诊疗效果。</w:t>
      </w:r>
    </w:p>
    <w:p>
      <w:pPr>
        <w:spacing w:line="360" w:lineRule="auto"/>
        <w:ind w:firstLine="480" w:firstLineChars="20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肿瘤基因检测是指通过P</w:t>
      </w:r>
      <w:r>
        <w:rPr>
          <w:rFonts w:ascii="inherit" w:hAnsi="inherit" w:cs="宋体"/>
          <w:color w:val="000000"/>
          <w:kern w:val="0"/>
          <w:sz w:val="24"/>
          <w:szCs w:val="23"/>
        </w:rPr>
        <w:t>CR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、F</w:t>
      </w:r>
      <w:r>
        <w:rPr>
          <w:rFonts w:ascii="inherit" w:hAnsi="inherit" w:cs="宋体"/>
          <w:color w:val="000000"/>
          <w:kern w:val="0"/>
          <w:sz w:val="24"/>
          <w:szCs w:val="23"/>
        </w:rPr>
        <w:t>ISH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、高通量测序等方法对肿瘤样本进行检测，筛选合适的靶向药物、免疫药物或化疗药物，为临床实现精准治疗提供重要用药依据，从而提高肿瘤治疗效果，降低严重不良反应发生率，改善患者生存质量，延长病人生存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bookmarkStart w:id="0" w:name="_Toc17711"/>
      <w:r>
        <w:rPr>
          <w:rFonts w:hint="eastAsia" w:ascii="宋体" w:hAnsi="宋体" w:cs="宋体"/>
          <w:sz w:val="28"/>
          <w:szCs w:val="28"/>
        </w:rPr>
        <w:t>项目概况</w:t>
      </w:r>
      <w:bookmarkEnd w:id="0"/>
    </w:p>
    <w:p>
      <w:pPr>
        <w:spacing w:line="360" w:lineRule="auto"/>
        <w:jc w:val="left"/>
        <w:rPr>
          <w:rFonts w:ascii="宋体" w:hAnsi="宋体" w:cs="宋体"/>
          <w:b/>
          <w:bCs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cs="宋体"/>
          <w:sz w:val="28"/>
          <w:szCs w:val="28"/>
        </w:rPr>
        <w:t>1.项目名称：循环肿瘤细胞分型检测</w:t>
      </w:r>
      <w:r>
        <w:rPr>
          <w:rFonts w:hint="eastAsia" w:ascii="宋体" w:hAnsi="宋体" w:cs="宋体"/>
          <w:bCs/>
          <w:sz w:val="28"/>
          <w:szCs w:val="28"/>
        </w:rPr>
        <w:t>及肿瘤基因检测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2.项目年度预算：</w:t>
      </w:r>
      <w:r>
        <w:rPr>
          <w:rFonts w:ascii="宋体" w:hAnsi="宋体" w:cs="宋体"/>
          <w:sz w:val="28"/>
          <w:szCs w:val="28"/>
        </w:rPr>
        <w:t>250</w:t>
      </w:r>
      <w:r>
        <w:rPr>
          <w:rFonts w:hint="eastAsia" w:ascii="宋体" w:hAnsi="宋体" w:cs="宋体"/>
          <w:sz w:val="28"/>
          <w:szCs w:val="28"/>
        </w:rPr>
        <w:t>万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3.预计年检测数量：6</w:t>
      </w:r>
      <w:r>
        <w:rPr>
          <w:rFonts w:ascii="宋体" w:hAnsi="宋体" w:cs="宋体"/>
          <w:sz w:val="28"/>
          <w:szCs w:val="28"/>
        </w:rPr>
        <w:t>00</w:t>
      </w:r>
      <w:r>
        <w:rPr>
          <w:rFonts w:hint="eastAsia" w:ascii="宋体" w:hAnsi="宋体" w:cs="宋体"/>
          <w:sz w:val="28"/>
          <w:szCs w:val="28"/>
        </w:rPr>
        <w:t>例</w:t>
      </w:r>
    </w:p>
    <w:p>
      <w:pPr>
        <w:spacing w:line="276" w:lineRule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4.服务期限：3年</w:t>
      </w:r>
      <w:r>
        <w:rPr>
          <w:rFonts w:hint="eastAsia" w:ascii="宋体" w:hAnsi="宋体" w:cs="宋体"/>
          <w:sz w:val="28"/>
          <w:szCs w:val="28"/>
          <w:lang w:eastAsia="zh-CN"/>
        </w:rPr>
        <w:t>（合同每年一签，服务满意，合同可顺延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2次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</w:p>
    <w:p>
      <w:pPr>
        <w:spacing w:line="276" w:lineRule="auto"/>
        <w:rPr>
          <w:rFonts w:ascii="宋体" w:hAnsi="宋体" w:cs="宋体"/>
          <w:sz w:val="28"/>
          <w:szCs w:val="28"/>
        </w:rPr>
      </w:pPr>
    </w:p>
    <w:p>
      <w:pPr>
        <w:spacing w:line="276" w:lineRule="auto"/>
        <w:rPr>
          <w:rFonts w:ascii="宋体" w:hAnsi="宋体" w:cs="宋体"/>
          <w:sz w:val="28"/>
          <w:szCs w:val="28"/>
        </w:rPr>
      </w:pPr>
    </w:p>
    <w:p>
      <w:pPr>
        <w:spacing w:line="276" w:lineRule="auto"/>
        <w:rPr>
          <w:rFonts w:ascii="宋体" w:hAnsi="宋体" w:cs="宋体"/>
          <w:sz w:val="28"/>
          <w:szCs w:val="28"/>
        </w:rPr>
      </w:pPr>
    </w:p>
    <w:p>
      <w:pPr>
        <w:spacing w:line="276" w:lineRule="auto"/>
        <w:rPr>
          <w:rFonts w:ascii="宋体" w:hAnsi="宋体" w:cs="宋体"/>
          <w:sz w:val="28"/>
          <w:szCs w:val="28"/>
        </w:rPr>
      </w:pPr>
    </w:p>
    <w:p>
      <w:pPr>
        <w:spacing w:line="276" w:lineRule="auto"/>
        <w:rPr>
          <w:rFonts w:ascii="宋体" w:hAnsi="宋体" w:cs="宋体"/>
          <w:sz w:val="28"/>
          <w:szCs w:val="28"/>
        </w:rPr>
      </w:pPr>
    </w:p>
    <w:p>
      <w:pPr>
        <w:spacing w:line="276" w:lineRule="auto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  <w:highlight w:val="yellow"/>
        </w:rPr>
        <w:t>检测项目目录</w:t>
      </w:r>
    </w:p>
    <w:tbl>
      <w:tblPr>
        <w:tblStyle w:val="20"/>
        <w:tblW w:w="9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468"/>
        <w:gridCol w:w="1418"/>
        <w:gridCol w:w="1417"/>
        <w:gridCol w:w="1271"/>
        <w:gridCol w:w="1139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检测项目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标本类型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收费项目名称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收费编码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单位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21" w:hanging="221" w:hangingChars="10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循环肿瘤细胞分型检测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外周血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循环肿瘤细胞检测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250800003F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EGFR基因突变检测（E19）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EGFR基因突变荧光定量聚合酶链式反应（PCR）法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EGFR基因突变检测（E18）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EGFR基因突变荧光定量聚合酶链式反应（PCR）法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EGFR基因突变检测（E21）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EGFR基因突变荧光定量聚合酶链式反应（PCR）法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EGFR基因突变检测（E20）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EGFR基因突变荧光定量聚合酶链式反应（PCR）法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861.00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KRAS基因突变检测（E2,E3）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k-ras基因突变荧光定量聚合酶链式反应（PCR）法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1,323.00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BRAF基因突变检测(E15)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NRAS基因突变检测(E2)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NRAS基因突变检测(E3)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NRAS基因突变检测(E4)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HRAS基因突变检测(E2)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HRAS基因突变检测(E3)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HRAS基因突变检测(E4)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PIK3CA基因突变检测（E9）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PIK3CA基因突变检测（E20）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IDH1基因突变检测（E4）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IDH1基因突变检测（E5）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IDH2基因突变检测（E4）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UGT1A1 SNP检测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静脉血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CYP2D6 SNP检测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静脉血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DPYD SNP检测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静脉血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22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TPMT SNP检测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静脉血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23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MTHFR SNP检测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静脉血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738.00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24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MGMT基因启动子甲基化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静脉血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1,476.00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ROS1基因重排（FISH）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组织标本/胸水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肿瘤基因原位杂交检测(FISH)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270700005S-2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1,900.00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26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MET基因扩增（FISH）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肿瘤基因原位杂交检测(FISH)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270700005S-2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1,900.00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27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HER2基因扩增（FISH）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肿瘤基因原位杂交检测(FISH)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270700005S-2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1,900.00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ALK基因扩增（FISH）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组织标本/胸水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肿瘤基因原位杂交检测(FISH)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270700005S-2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1,900.00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29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RET基因扩增（FISH）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组织标本/胸水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肿瘤基因原位杂交检测(FISH)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270700005S-2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1,900.00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MSI(微卫星不稳定性)检测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组织标本+静脉血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巢式聚合酶链式反应（PCR）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270700004S-1*1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2,214.00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20+基因N</w:t>
            </w:r>
            <w:r>
              <w:rPr>
                <w:rFonts w:ascii="宋体" w:hAnsi="宋体" w:cs="宋体"/>
                <w:szCs w:val="21"/>
              </w:rPr>
              <w:t>GS</w:t>
            </w:r>
            <w:r>
              <w:rPr>
                <w:rFonts w:hint="eastAsia" w:ascii="宋体" w:hAnsi="宋体" w:cs="宋体"/>
                <w:szCs w:val="21"/>
              </w:rPr>
              <w:t>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组织标本/静脉血/胸水/腹水/脑脊液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6,900.00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32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150+基因N</w:t>
            </w:r>
            <w:r>
              <w:rPr>
                <w:rFonts w:ascii="宋体" w:hAnsi="宋体" w:cs="宋体"/>
                <w:szCs w:val="21"/>
              </w:rPr>
              <w:t>GS</w:t>
            </w:r>
            <w:r>
              <w:rPr>
                <w:rFonts w:hint="eastAsia" w:ascii="宋体" w:hAnsi="宋体" w:cs="宋体"/>
                <w:szCs w:val="21"/>
              </w:rPr>
              <w:t>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组织标本/静脉血/胸水/腹水/脑脊液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9,900.00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33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600+基因N</w:t>
            </w:r>
            <w:r>
              <w:rPr>
                <w:rFonts w:ascii="宋体" w:hAnsi="宋体" w:cs="宋体"/>
                <w:szCs w:val="21"/>
              </w:rPr>
              <w:t>GS</w:t>
            </w:r>
            <w:r>
              <w:rPr>
                <w:rFonts w:hint="eastAsia" w:ascii="宋体" w:hAnsi="宋体" w:cs="宋体"/>
                <w:szCs w:val="21"/>
              </w:rPr>
              <w:t>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组织标本/静脉血/胸水/腹水/脑脊液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47</w:t>
            </w:r>
            <w:r>
              <w:rPr>
                <w:rFonts w:hint="eastAsia" w:ascii="宋体" w:hAnsi="宋体" w:cs="宋体"/>
                <w:szCs w:val="21"/>
              </w:rPr>
              <w:t>+基因N</w:t>
            </w:r>
            <w:r>
              <w:rPr>
                <w:rFonts w:ascii="宋体" w:hAnsi="宋体" w:cs="宋体"/>
                <w:szCs w:val="21"/>
              </w:rPr>
              <w:t>GS</w:t>
            </w:r>
            <w:r>
              <w:rPr>
                <w:rFonts w:hint="eastAsia" w:ascii="宋体" w:hAnsi="宋体" w:cs="宋体"/>
                <w:szCs w:val="21"/>
              </w:rPr>
              <w:t>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组织标本/静脉血/胸水/腹水/脑脊液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118</w:t>
            </w:r>
            <w:r>
              <w:rPr>
                <w:rFonts w:hint="eastAsia" w:ascii="宋体" w:hAnsi="宋体" w:cs="宋体"/>
                <w:szCs w:val="21"/>
              </w:rPr>
              <w:t>+基因N</w:t>
            </w:r>
            <w:r>
              <w:rPr>
                <w:rFonts w:ascii="宋体" w:hAnsi="宋体" w:cs="宋体"/>
                <w:szCs w:val="21"/>
              </w:rPr>
              <w:t>GS</w:t>
            </w:r>
            <w:r>
              <w:rPr>
                <w:rFonts w:hint="eastAsia" w:ascii="宋体" w:hAnsi="宋体" w:cs="宋体"/>
                <w:szCs w:val="21"/>
              </w:rPr>
              <w:t>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组织标本/静脉血/胸水/腹水/脑脊液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242</w:t>
            </w:r>
            <w:r>
              <w:rPr>
                <w:rFonts w:hint="eastAsia" w:ascii="宋体" w:hAnsi="宋体" w:cs="宋体"/>
                <w:szCs w:val="21"/>
              </w:rPr>
              <w:t>+基因NGS测序（DNA）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组织标本/静脉血/胸水/腹水/脑脊液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2900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242</w:t>
            </w:r>
            <w:r>
              <w:rPr>
                <w:rFonts w:hint="eastAsia" w:ascii="宋体" w:hAnsi="宋体" w:cs="宋体"/>
                <w:szCs w:val="21"/>
              </w:rPr>
              <w:t>+基因NGS测序（DNA+RNA）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组织标本/静脉血/胸水/腹水/脑脊液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6800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406</w:t>
            </w:r>
            <w:r>
              <w:rPr>
                <w:rFonts w:hint="eastAsia" w:ascii="宋体" w:hAnsi="宋体" w:cs="宋体"/>
                <w:szCs w:val="21"/>
              </w:rPr>
              <w:t>+基因NGS测序（DNA</w:t>
            </w:r>
            <w:r>
              <w:rPr>
                <w:rFonts w:ascii="宋体" w:hAnsi="宋体" w:cs="宋体"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（泌尿肿瘤）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组织标本/静脉血/胸水/腹水/脑脊液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672</w:t>
            </w:r>
            <w:r>
              <w:rPr>
                <w:rFonts w:hint="eastAsia" w:ascii="宋体" w:hAnsi="宋体" w:cs="宋体"/>
                <w:szCs w:val="21"/>
              </w:rPr>
              <w:t>+基因NGS测序（DNA+RNA）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组织标本/静脉血/胸水/腹水/脑脊液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23400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40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672</w:t>
            </w:r>
            <w:r>
              <w:rPr>
                <w:rFonts w:hint="eastAsia" w:ascii="宋体" w:hAnsi="宋体" w:cs="宋体"/>
                <w:szCs w:val="21"/>
              </w:rPr>
              <w:t>+基因NGS测序（DNA）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组织标本/静脉血/胸水/腹水/脑脊液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6800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41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2W</w:t>
            </w:r>
            <w:r>
              <w:rPr>
                <w:rFonts w:hint="eastAsia" w:ascii="宋体" w:hAnsi="宋体" w:cs="宋体"/>
                <w:szCs w:val="21"/>
              </w:rPr>
              <w:t>+基因全外显子NGS测序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组织标本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19800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血液动态检测</w:t>
            </w:r>
            <w:r>
              <w:rPr>
                <w:rFonts w:hint="eastAsia" w:ascii="宋体" w:hAnsi="宋体" w:cs="宋体"/>
                <w:szCs w:val="21"/>
              </w:rPr>
              <w:t>（基于全外显子）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静脉血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43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乳腺癌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卵巢</w:t>
            </w:r>
            <w:r>
              <w:rPr>
                <w:rFonts w:hint="eastAsia" w:ascii="宋体" w:hAnsi="宋体" w:cs="宋体"/>
                <w:szCs w:val="21"/>
              </w:rPr>
              <w:t>癌</w:t>
            </w:r>
            <w:r>
              <w:rPr>
                <w:rFonts w:ascii="宋体" w:hAnsi="宋体" w:cs="宋体"/>
                <w:szCs w:val="21"/>
              </w:rPr>
              <w:t>遗传</w:t>
            </w:r>
            <w:r>
              <w:rPr>
                <w:rFonts w:hint="eastAsia" w:ascii="宋体" w:hAnsi="宋体" w:cs="宋体"/>
                <w:szCs w:val="21"/>
              </w:rPr>
              <w:t>基因NGS测序（BRCA</w:t>
            </w:r>
            <w:r>
              <w:rPr>
                <w:rFonts w:ascii="宋体" w:hAnsi="宋体" w:cs="宋体"/>
                <w:szCs w:val="21"/>
              </w:rPr>
              <w:t>1,BRCA2,PLAB2）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静脉血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高通量基因测序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250700031F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次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3900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00</w:t>
            </w:r>
          </w:p>
        </w:tc>
      </w:tr>
    </w:tbl>
    <w:p>
      <w:pPr>
        <w:widowControl/>
        <w:spacing w:line="240" w:lineRule="exact"/>
        <w:jc w:val="left"/>
        <w:rPr>
          <w:rFonts w:ascii="宋体" w:hAnsi="宋体" w:cs="宋体"/>
          <w:sz w:val="28"/>
          <w:szCs w:val="28"/>
        </w:rPr>
      </w:pPr>
    </w:p>
    <w:p>
      <w:pPr>
        <w:pStyle w:val="3"/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技术要求</w:t>
      </w:r>
    </w:p>
    <w:p>
      <w:pPr>
        <w:pStyle w:val="34"/>
        <w:numPr>
          <w:ilvl w:val="0"/>
          <w:numId w:val="2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必须具备开展该项目的医疗资质，包括《医疗机构执业许可》和《临床基因扩增实验室》。</w:t>
      </w:r>
    </w:p>
    <w:p>
      <w:pPr>
        <w:pStyle w:val="34"/>
        <w:numPr>
          <w:ilvl w:val="0"/>
          <w:numId w:val="2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需提供广州市内不少于5家三甲医院合同或发票复印件。</w:t>
      </w:r>
    </w:p>
    <w:p>
      <w:pPr>
        <w:pStyle w:val="34"/>
        <w:numPr>
          <w:ilvl w:val="0"/>
          <w:numId w:val="2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拥有开展该检测项目的技术优势，具备经认定的“国家高新技术企业”资质，具有省级或以上科技部门认定的“个体化医学工程技术研究中心”。</w:t>
      </w:r>
    </w:p>
    <w:p>
      <w:pPr>
        <w:pStyle w:val="34"/>
        <w:numPr>
          <w:ilvl w:val="0"/>
          <w:numId w:val="2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具备该检测项目的技术创新能力，具有独立承担省级及以上相相关项目科技专项的经验，具有持续提升该项目的研发和产业化经验。</w:t>
      </w:r>
    </w:p>
    <w:p>
      <w:pPr>
        <w:pStyle w:val="34"/>
        <w:numPr>
          <w:ilvl w:val="0"/>
          <w:numId w:val="2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具有中央和地方共建的“个体化医学公开服务平台”。</w:t>
      </w:r>
    </w:p>
    <w:p>
      <w:pPr>
        <w:pStyle w:val="34"/>
        <w:numPr>
          <w:ilvl w:val="0"/>
          <w:numId w:val="2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必须具备足够的经营实力，全国连锁经营实验室不得少于四家。</w:t>
      </w:r>
    </w:p>
    <w:p>
      <w:pPr>
        <w:numPr>
          <w:ilvl w:val="0"/>
          <w:numId w:val="2"/>
        </w:numPr>
        <w:spacing w:line="360" w:lineRule="exact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Theme="minorEastAsia" w:hAnsiTheme="minorEastAsia"/>
          <w:sz w:val="24"/>
          <w:szCs w:val="24"/>
        </w:rPr>
        <w:t>应积极配合完成报告信息系统对接，对接完成后可直接在医院Lis系统上查看并打印检验检测报告，具体的对接工作及费用由</w:t>
      </w:r>
      <w:r>
        <w:rPr>
          <w:rFonts w:hint="eastAsia" w:ascii="inherit" w:hAnsi="inherit" w:cs="宋体"/>
          <w:color w:val="000000"/>
          <w:kern w:val="0"/>
          <w:sz w:val="24"/>
          <w:szCs w:val="24"/>
          <w:lang w:eastAsia="zh-CN"/>
        </w:rPr>
        <w:t>报价人</w:t>
      </w:r>
      <w:r>
        <w:rPr>
          <w:rFonts w:hint="eastAsia" w:asciiTheme="minorEastAsia" w:hAnsiTheme="minorEastAsia"/>
          <w:sz w:val="24"/>
          <w:szCs w:val="24"/>
        </w:rPr>
        <w:t>承担，如有必要双方再对具体的内容另行签署补充相关协议。</w:t>
      </w:r>
    </w:p>
    <w:p>
      <w:pPr>
        <w:pStyle w:val="34"/>
        <w:numPr>
          <w:ilvl w:val="0"/>
          <w:numId w:val="2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具有参加五年以上</w:t>
      </w:r>
      <w:r>
        <w:rPr>
          <w:rFonts w:ascii="inherit" w:hAnsi="inherit" w:cs="宋体"/>
          <w:color w:val="000000"/>
          <w:kern w:val="0"/>
          <w:sz w:val="24"/>
          <w:szCs w:val="23"/>
        </w:rPr>
        <w:t>国家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级肿瘤基因检测</w:t>
      </w:r>
      <w:r>
        <w:rPr>
          <w:rFonts w:ascii="inherit" w:hAnsi="inherit" w:cs="宋体"/>
          <w:color w:val="000000"/>
          <w:kern w:val="0"/>
          <w:sz w:val="24"/>
          <w:szCs w:val="23"/>
        </w:rPr>
        <w:t>室间质量评价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活动检测的经验，结果必须全部全部100%符合，每次</w:t>
      </w:r>
      <w:r>
        <w:rPr>
          <w:rFonts w:ascii="inherit" w:hAnsi="inherit" w:cs="宋体"/>
          <w:color w:val="000000"/>
          <w:kern w:val="0"/>
          <w:sz w:val="24"/>
          <w:szCs w:val="23"/>
        </w:rPr>
        <w:t>PT成绩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均为</w:t>
      </w:r>
      <w:r>
        <w:rPr>
          <w:rFonts w:ascii="inherit" w:hAnsi="inherit" w:cs="宋体"/>
          <w:color w:val="000000"/>
          <w:kern w:val="0"/>
          <w:sz w:val="24"/>
          <w:szCs w:val="23"/>
        </w:rPr>
        <w:t>100分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。具备参加三年以上国际室间质量评价，检测结果必须100%符合。</w:t>
      </w:r>
    </w:p>
    <w:p>
      <w:pPr>
        <w:pStyle w:val="34"/>
        <w:numPr>
          <w:ilvl w:val="0"/>
          <w:numId w:val="2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ascii="inherit" w:hAnsi="inherit" w:cs="宋体"/>
          <w:color w:val="000000"/>
          <w:kern w:val="0"/>
          <w:sz w:val="24"/>
          <w:szCs w:val="23"/>
        </w:rPr>
        <w:t>委托项目均按日或检测批次进行室内质控，按季度提供室内质量控制报表，其内容包括质控检测数据、控制标准、质控分析、失控报告。按用户要求，随时提供质量和技术资料，如更换试剂批号、仪器维修后、检验系统更换后的质控记录和性能验证报告。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并</w:t>
      </w:r>
      <w:r>
        <w:rPr>
          <w:rFonts w:ascii="inherit" w:hAnsi="inherit" w:cs="宋体"/>
          <w:color w:val="000000"/>
          <w:kern w:val="0"/>
          <w:sz w:val="24"/>
          <w:szCs w:val="23"/>
        </w:rPr>
        <w:t>随时接受并妥善安排用户查阅项目检测、质量控制等情况。</w:t>
      </w:r>
    </w:p>
    <w:p>
      <w:pPr>
        <w:pStyle w:val="34"/>
        <w:numPr>
          <w:ilvl w:val="0"/>
          <w:numId w:val="2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  <w:lang w:eastAsia="zh-CN"/>
        </w:rPr>
        <w:t>报价人</w:t>
      </w:r>
      <w:r>
        <w:rPr>
          <w:rFonts w:ascii="inherit" w:hAnsi="inherit" w:cs="宋体"/>
          <w:color w:val="000000"/>
          <w:kern w:val="0"/>
          <w:sz w:val="24"/>
          <w:szCs w:val="23"/>
        </w:rPr>
        <w:t>有专人负责用户业务及质量、技术、培训等工作。</w:t>
      </w:r>
    </w:p>
    <w:p>
      <w:pPr>
        <w:pStyle w:val="34"/>
        <w:numPr>
          <w:ilvl w:val="0"/>
          <w:numId w:val="2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C</w:t>
      </w:r>
      <w:r>
        <w:rPr>
          <w:rFonts w:ascii="inherit" w:hAnsi="inherit" w:cs="宋体"/>
          <w:color w:val="000000"/>
          <w:kern w:val="0"/>
          <w:sz w:val="24"/>
          <w:szCs w:val="23"/>
        </w:rPr>
        <w:t>TC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检测项目需求：</w:t>
      </w:r>
    </w:p>
    <w:p>
      <w:pPr>
        <w:pStyle w:val="34"/>
        <w:numPr>
          <w:ilvl w:val="0"/>
          <w:numId w:val="3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检测方法为荧光原位杂交（F</w:t>
      </w:r>
      <w:r>
        <w:rPr>
          <w:rFonts w:ascii="inherit" w:hAnsi="inherit" w:cs="宋体"/>
          <w:color w:val="000000"/>
          <w:kern w:val="0"/>
          <w:sz w:val="24"/>
          <w:szCs w:val="23"/>
        </w:rPr>
        <w:t>ISH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）法，使用不少于</w:t>
      </w:r>
      <w:r>
        <w:rPr>
          <w:rFonts w:ascii="inherit" w:hAnsi="inherit" w:cs="宋体"/>
          <w:color w:val="000000"/>
          <w:kern w:val="0"/>
          <w:sz w:val="24"/>
          <w:szCs w:val="23"/>
        </w:rPr>
        <w:t>5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个F</w:t>
      </w:r>
      <w:r>
        <w:rPr>
          <w:rFonts w:ascii="inherit" w:hAnsi="inherit" w:cs="宋体"/>
          <w:color w:val="000000"/>
          <w:kern w:val="0"/>
          <w:sz w:val="24"/>
          <w:szCs w:val="23"/>
        </w:rPr>
        <w:t>ISH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探针。</w:t>
      </w:r>
    </w:p>
    <w:p>
      <w:pPr>
        <w:pStyle w:val="34"/>
        <w:numPr>
          <w:ilvl w:val="0"/>
          <w:numId w:val="3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检测结果包括单细胞数量和细胞团数量，其中单细胞进一步分型为上皮型CTC、混合型CTC、间质型CTC；细胞团分型为CTC细胞团CTM和CTC-WBC细胞团。</w:t>
      </w:r>
    </w:p>
    <w:p>
      <w:pPr>
        <w:pStyle w:val="34"/>
        <w:numPr>
          <w:ilvl w:val="0"/>
          <w:numId w:val="3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可实现CTC下游的目标基因表达、DNA测序、荧光原位杂交等检测。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kern w:val="0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</w:rPr>
        <w:t>服务要求</w:t>
      </w:r>
    </w:p>
    <w:p>
      <w:pPr>
        <w:pStyle w:val="34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有能力提供免费的物流服务，按双方约定要求收检标本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</w:t>
      </w:r>
    </w:p>
    <w:p>
      <w:pPr>
        <w:pStyle w:val="34"/>
        <w:spacing w:line="360" w:lineRule="exact"/>
        <w:ind w:left="785" w:firstLine="0"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对样本运输的要求</w:t>
      </w:r>
    </w:p>
    <w:p>
      <w:pPr>
        <w:pStyle w:val="34"/>
        <w:numPr>
          <w:ilvl w:val="0"/>
          <w:numId w:val="5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临床科室采集样本后，由委托检测机构派专人到指定地点接收并保证物流运输。</w:t>
      </w:r>
    </w:p>
    <w:p>
      <w:pPr>
        <w:pStyle w:val="34"/>
        <w:numPr>
          <w:ilvl w:val="0"/>
          <w:numId w:val="5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样本前处理视检测项目要求与我院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检验科</w:t>
      </w:r>
      <w:r>
        <w:rPr>
          <w:rFonts w:ascii="inherit" w:hAnsi="inherit" w:cs="宋体"/>
          <w:color w:val="000000"/>
          <w:kern w:val="0"/>
          <w:sz w:val="24"/>
          <w:szCs w:val="23"/>
        </w:rPr>
        <w:t>具体商定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</w:t>
      </w:r>
    </w:p>
    <w:p>
      <w:pPr>
        <w:pStyle w:val="34"/>
        <w:numPr>
          <w:ilvl w:val="0"/>
          <w:numId w:val="5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样本运输要求确保运输过程的样品质量和环境安全。对于需低温冷冻或有特殊要求的样本视具体项目与我院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检验科商定。</w:t>
      </w:r>
    </w:p>
    <w:p>
      <w:pPr>
        <w:pStyle w:val="34"/>
        <w:numPr>
          <w:ilvl w:val="0"/>
          <w:numId w:val="5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委托检验机构接收后不合格样本&lt;1/1000。</w:t>
      </w:r>
    </w:p>
    <w:p>
      <w:pPr>
        <w:pStyle w:val="34"/>
        <w:numPr>
          <w:ilvl w:val="0"/>
          <w:numId w:val="5"/>
        </w:numPr>
        <w:spacing w:line="360" w:lineRule="exact"/>
        <w:ind w:firstLineChars="0"/>
        <w:rPr>
          <w:rFonts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具备规范标本接收、登记和包装流程，保证标本质量和安全，确保标本顺利交接，方便查核。标本接收人员负责标本质量的初检、标识的核对，标本的接收登记及包装储存。</w:t>
      </w:r>
    </w:p>
    <w:p>
      <w:pPr>
        <w:pStyle w:val="34"/>
        <w:numPr>
          <w:ilvl w:val="0"/>
          <w:numId w:val="5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严格遵守临床诊疗技术规范，严格执行</w:t>
      </w:r>
      <w:r>
        <w:rPr>
          <w:rFonts w:hint="eastAsia" w:asciiTheme="minorEastAsia" w:hAnsiTheme="minorEastAsia"/>
          <w:sz w:val="24"/>
          <w:szCs w:val="24"/>
        </w:rPr>
        <w:t>《广东省非营利性医疗机构收费标准》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等规定，全权负责并确保项目定价的合法合规。</w:t>
      </w:r>
      <w:r>
        <w:rPr>
          <w:rFonts w:ascii="inherit" w:hAnsi="inherit" w:cs="宋体"/>
          <w:color w:val="000000"/>
          <w:kern w:val="0"/>
          <w:sz w:val="24"/>
          <w:szCs w:val="23"/>
        </w:rPr>
        <w:t>并对检验报告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准确性</w:t>
      </w:r>
      <w:r>
        <w:rPr>
          <w:rFonts w:ascii="inherit" w:hAnsi="inherit" w:cs="宋体"/>
          <w:color w:val="000000"/>
          <w:kern w:val="0"/>
          <w:sz w:val="24"/>
          <w:szCs w:val="23"/>
        </w:rPr>
        <w:t>承担相应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责任。</w:t>
      </w:r>
    </w:p>
    <w:p>
      <w:pPr>
        <w:pStyle w:val="34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有为用户保密的义务，未经同意不得泄露委托检验的项目、检验的内容、检验的结果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</w:t>
      </w:r>
    </w:p>
    <w:p>
      <w:pPr>
        <w:pStyle w:val="34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检测样本、检测数据的所有权、使用权为用户所有，未经许可不得挪作它用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</w:t>
      </w:r>
      <w:r>
        <w:rPr>
          <w:rFonts w:ascii="inherit" w:hAnsi="inherit" w:cs="宋体"/>
          <w:color w:val="000000"/>
          <w:kern w:val="0"/>
          <w:sz w:val="24"/>
          <w:szCs w:val="23"/>
        </w:rPr>
        <w:t>能够按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用户</w:t>
      </w:r>
      <w:r>
        <w:rPr>
          <w:rFonts w:ascii="inherit" w:hAnsi="inherit" w:cs="宋体"/>
          <w:color w:val="000000"/>
          <w:kern w:val="0"/>
          <w:sz w:val="24"/>
          <w:szCs w:val="23"/>
        </w:rPr>
        <w:t>要求妥善保存及销毁检验后样本。</w:t>
      </w:r>
    </w:p>
    <w:p>
      <w:pPr>
        <w:pStyle w:val="35"/>
        <w:numPr>
          <w:ilvl w:val="0"/>
          <w:numId w:val="4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每年提供1-5次省级或以上学术会议的邀请，每次提供不少于5个参会名额。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715DD"/>
    <w:multiLevelType w:val="multilevel"/>
    <w:tmpl w:val="08B715DD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64" w:hanging="420"/>
      </w:pPr>
    </w:lvl>
    <w:lvl w:ilvl="2" w:tentative="0">
      <w:start w:val="1"/>
      <w:numFmt w:val="lowerRoman"/>
      <w:lvlText w:val="%3."/>
      <w:lvlJc w:val="right"/>
      <w:pPr>
        <w:ind w:left="1284" w:hanging="420"/>
      </w:pPr>
    </w:lvl>
    <w:lvl w:ilvl="3" w:tentative="0">
      <w:start w:val="1"/>
      <w:numFmt w:val="decimal"/>
      <w:lvlText w:val="%4."/>
      <w:lvlJc w:val="left"/>
      <w:pPr>
        <w:ind w:left="1704" w:hanging="420"/>
      </w:pPr>
    </w:lvl>
    <w:lvl w:ilvl="4" w:tentative="0">
      <w:start w:val="1"/>
      <w:numFmt w:val="lowerLetter"/>
      <w:lvlText w:val="%5)"/>
      <w:lvlJc w:val="left"/>
      <w:pPr>
        <w:ind w:left="2124" w:hanging="420"/>
      </w:pPr>
    </w:lvl>
    <w:lvl w:ilvl="5" w:tentative="0">
      <w:start w:val="1"/>
      <w:numFmt w:val="lowerRoman"/>
      <w:lvlText w:val="%6."/>
      <w:lvlJc w:val="right"/>
      <w:pPr>
        <w:ind w:left="2544" w:hanging="420"/>
      </w:pPr>
    </w:lvl>
    <w:lvl w:ilvl="6" w:tentative="0">
      <w:start w:val="1"/>
      <w:numFmt w:val="decimal"/>
      <w:lvlText w:val="%7."/>
      <w:lvlJc w:val="left"/>
      <w:pPr>
        <w:ind w:left="2964" w:hanging="420"/>
      </w:pPr>
    </w:lvl>
    <w:lvl w:ilvl="7" w:tentative="0">
      <w:start w:val="1"/>
      <w:numFmt w:val="lowerLetter"/>
      <w:lvlText w:val="%8)"/>
      <w:lvlJc w:val="left"/>
      <w:pPr>
        <w:ind w:left="3384" w:hanging="420"/>
      </w:pPr>
    </w:lvl>
    <w:lvl w:ilvl="8" w:tentative="0">
      <w:start w:val="1"/>
      <w:numFmt w:val="lowerRoman"/>
      <w:lvlText w:val="%9."/>
      <w:lvlJc w:val="right"/>
      <w:pPr>
        <w:ind w:left="3804" w:hanging="420"/>
      </w:pPr>
    </w:lvl>
  </w:abstractNum>
  <w:abstractNum w:abstractNumId="1">
    <w:nsid w:val="0DA63F4E"/>
    <w:multiLevelType w:val="multilevel"/>
    <w:tmpl w:val="0DA63F4E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abstractNum w:abstractNumId="2">
    <w:nsid w:val="5D132B28"/>
    <w:multiLevelType w:val="singleLevel"/>
    <w:tmpl w:val="5D132B28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64B1225D"/>
    <w:multiLevelType w:val="multilevel"/>
    <w:tmpl w:val="64B1225D"/>
    <w:lvl w:ilvl="0" w:tentative="0">
      <w:start w:val="1"/>
      <w:numFmt w:val="decimal"/>
      <w:suff w:val="nothing"/>
      <w:lvlText w:val="%1、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7DE17860"/>
    <w:multiLevelType w:val="multilevel"/>
    <w:tmpl w:val="7DE17860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A76"/>
    <w:rsid w:val="0002043A"/>
    <w:rsid w:val="000270CF"/>
    <w:rsid w:val="00031FFC"/>
    <w:rsid w:val="00036D21"/>
    <w:rsid w:val="00040D5A"/>
    <w:rsid w:val="000422C0"/>
    <w:rsid w:val="000524B8"/>
    <w:rsid w:val="00057FAA"/>
    <w:rsid w:val="00080506"/>
    <w:rsid w:val="00093AC9"/>
    <w:rsid w:val="00097194"/>
    <w:rsid w:val="000B5DBD"/>
    <w:rsid w:val="000B7A83"/>
    <w:rsid w:val="000C6A7E"/>
    <w:rsid w:val="000D6FAF"/>
    <w:rsid w:val="000E198D"/>
    <w:rsid w:val="000F125A"/>
    <w:rsid w:val="000F1B8A"/>
    <w:rsid w:val="00105E57"/>
    <w:rsid w:val="00145F20"/>
    <w:rsid w:val="00167EEE"/>
    <w:rsid w:val="00172FAC"/>
    <w:rsid w:val="001914C9"/>
    <w:rsid w:val="001A3F3C"/>
    <w:rsid w:val="001B5D2A"/>
    <w:rsid w:val="001B6F7E"/>
    <w:rsid w:val="001D3F30"/>
    <w:rsid w:val="001E1952"/>
    <w:rsid w:val="001E4572"/>
    <w:rsid w:val="001F05FB"/>
    <w:rsid w:val="0020106D"/>
    <w:rsid w:val="002111B1"/>
    <w:rsid w:val="00214CB5"/>
    <w:rsid w:val="00220F09"/>
    <w:rsid w:val="002212B8"/>
    <w:rsid w:val="00224EC5"/>
    <w:rsid w:val="002258DF"/>
    <w:rsid w:val="00225EF1"/>
    <w:rsid w:val="002419D5"/>
    <w:rsid w:val="00253DE4"/>
    <w:rsid w:val="0027534C"/>
    <w:rsid w:val="00282A75"/>
    <w:rsid w:val="002A0428"/>
    <w:rsid w:val="002A7FBF"/>
    <w:rsid w:val="002D169A"/>
    <w:rsid w:val="002D609B"/>
    <w:rsid w:val="002F308B"/>
    <w:rsid w:val="002F66C6"/>
    <w:rsid w:val="003042ED"/>
    <w:rsid w:val="00312CD8"/>
    <w:rsid w:val="003379EB"/>
    <w:rsid w:val="00340791"/>
    <w:rsid w:val="00343A0A"/>
    <w:rsid w:val="00356472"/>
    <w:rsid w:val="00360C8F"/>
    <w:rsid w:val="0036483D"/>
    <w:rsid w:val="0037164D"/>
    <w:rsid w:val="00373BDF"/>
    <w:rsid w:val="0037735A"/>
    <w:rsid w:val="00382263"/>
    <w:rsid w:val="003A1D43"/>
    <w:rsid w:val="003A6CBC"/>
    <w:rsid w:val="003B7095"/>
    <w:rsid w:val="003C72F0"/>
    <w:rsid w:val="003D5287"/>
    <w:rsid w:val="003F1EDC"/>
    <w:rsid w:val="00400CFF"/>
    <w:rsid w:val="00405739"/>
    <w:rsid w:val="00412119"/>
    <w:rsid w:val="004131E7"/>
    <w:rsid w:val="00443AA7"/>
    <w:rsid w:val="00445506"/>
    <w:rsid w:val="004510EA"/>
    <w:rsid w:val="004548DC"/>
    <w:rsid w:val="004621D5"/>
    <w:rsid w:val="00465115"/>
    <w:rsid w:val="00472BCD"/>
    <w:rsid w:val="00473403"/>
    <w:rsid w:val="004B1980"/>
    <w:rsid w:val="004E2169"/>
    <w:rsid w:val="00556D26"/>
    <w:rsid w:val="005652A4"/>
    <w:rsid w:val="00576FE9"/>
    <w:rsid w:val="00585A05"/>
    <w:rsid w:val="005A0E64"/>
    <w:rsid w:val="005B30E1"/>
    <w:rsid w:val="005B3818"/>
    <w:rsid w:val="005F24E0"/>
    <w:rsid w:val="00621119"/>
    <w:rsid w:val="006323EC"/>
    <w:rsid w:val="0063370E"/>
    <w:rsid w:val="00641040"/>
    <w:rsid w:val="00647FBE"/>
    <w:rsid w:val="0065469C"/>
    <w:rsid w:val="006675C0"/>
    <w:rsid w:val="0069102F"/>
    <w:rsid w:val="006C2F7A"/>
    <w:rsid w:val="006D6500"/>
    <w:rsid w:val="006D6616"/>
    <w:rsid w:val="006E0082"/>
    <w:rsid w:val="006E3332"/>
    <w:rsid w:val="006F139B"/>
    <w:rsid w:val="006F4CD1"/>
    <w:rsid w:val="006F5FA7"/>
    <w:rsid w:val="006F68C6"/>
    <w:rsid w:val="00714AF1"/>
    <w:rsid w:val="007150FA"/>
    <w:rsid w:val="00717F7D"/>
    <w:rsid w:val="00726506"/>
    <w:rsid w:val="00743D57"/>
    <w:rsid w:val="00750869"/>
    <w:rsid w:val="007643EF"/>
    <w:rsid w:val="007833D4"/>
    <w:rsid w:val="007B4FEB"/>
    <w:rsid w:val="007C4FB9"/>
    <w:rsid w:val="007C5B54"/>
    <w:rsid w:val="007E18C8"/>
    <w:rsid w:val="008249F8"/>
    <w:rsid w:val="00827867"/>
    <w:rsid w:val="00832DCB"/>
    <w:rsid w:val="0084037F"/>
    <w:rsid w:val="008705FE"/>
    <w:rsid w:val="0087130F"/>
    <w:rsid w:val="0087634A"/>
    <w:rsid w:val="008C3596"/>
    <w:rsid w:val="008D1DFB"/>
    <w:rsid w:val="008F3E4D"/>
    <w:rsid w:val="00901D6A"/>
    <w:rsid w:val="00903360"/>
    <w:rsid w:val="00917161"/>
    <w:rsid w:val="00931D7F"/>
    <w:rsid w:val="00933388"/>
    <w:rsid w:val="00935CA9"/>
    <w:rsid w:val="00941B1D"/>
    <w:rsid w:val="0094210E"/>
    <w:rsid w:val="009465F4"/>
    <w:rsid w:val="00967872"/>
    <w:rsid w:val="00971B5B"/>
    <w:rsid w:val="0098076F"/>
    <w:rsid w:val="00997691"/>
    <w:rsid w:val="009B7959"/>
    <w:rsid w:val="009C7A90"/>
    <w:rsid w:val="009E2DA6"/>
    <w:rsid w:val="009E4A26"/>
    <w:rsid w:val="009F15F5"/>
    <w:rsid w:val="00A00525"/>
    <w:rsid w:val="00A11049"/>
    <w:rsid w:val="00A1533B"/>
    <w:rsid w:val="00A31C1F"/>
    <w:rsid w:val="00A50D25"/>
    <w:rsid w:val="00A51FD5"/>
    <w:rsid w:val="00A547A9"/>
    <w:rsid w:val="00A6098F"/>
    <w:rsid w:val="00A61CC6"/>
    <w:rsid w:val="00A61E8C"/>
    <w:rsid w:val="00A668F1"/>
    <w:rsid w:val="00A7070D"/>
    <w:rsid w:val="00A94E1D"/>
    <w:rsid w:val="00AB5EAA"/>
    <w:rsid w:val="00AD01C9"/>
    <w:rsid w:val="00AE73B0"/>
    <w:rsid w:val="00AF2121"/>
    <w:rsid w:val="00B17FAE"/>
    <w:rsid w:val="00B35AB7"/>
    <w:rsid w:val="00B35AE6"/>
    <w:rsid w:val="00B465A7"/>
    <w:rsid w:val="00B47BED"/>
    <w:rsid w:val="00B70D7C"/>
    <w:rsid w:val="00B71A3D"/>
    <w:rsid w:val="00B73C81"/>
    <w:rsid w:val="00B84AEF"/>
    <w:rsid w:val="00B85F94"/>
    <w:rsid w:val="00B970E0"/>
    <w:rsid w:val="00BA0E2B"/>
    <w:rsid w:val="00BB6217"/>
    <w:rsid w:val="00BC09C7"/>
    <w:rsid w:val="00BD390C"/>
    <w:rsid w:val="00BD4F88"/>
    <w:rsid w:val="00BE3103"/>
    <w:rsid w:val="00BE5673"/>
    <w:rsid w:val="00BF5F0A"/>
    <w:rsid w:val="00C15DF9"/>
    <w:rsid w:val="00C5377E"/>
    <w:rsid w:val="00C62987"/>
    <w:rsid w:val="00C644B7"/>
    <w:rsid w:val="00C65184"/>
    <w:rsid w:val="00C71C85"/>
    <w:rsid w:val="00C941F8"/>
    <w:rsid w:val="00CA5EB8"/>
    <w:rsid w:val="00CB7BA9"/>
    <w:rsid w:val="00CC4EFB"/>
    <w:rsid w:val="00CC6B3E"/>
    <w:rsid w:val="00CC7F5B"/>
    <w:rsid w:val="00CD06D9"/>
    <w:rsid w:val="00CE574A"/>
    <w:rsid w:val="00CE780F"/>
    <w:rsid w:val="00CF30A0"/>
    <w:rsid w:val="00CF7095"/>
    <w:rsid w:val="00D05E97"/>
    <w:rsid w:val="00D30BF6"/>
    <w:rsid w:val="00D34952"/>
    <w:rsid w:val="00D3583A"/>
    <w:rsid w:val="00D374DF"/>
    <w:rsid w:val="00D65D1D"/>
    <w:rsid w:val="00D66A4C"/>
    <w:rsid w:val="00D87AAA"/>
    <w:rsid w:val="00DA2559"/>
    <w:rsid w:val="00DB4571"/>
    <w:rsid w:val="00DC415A"/>
    <w:rsid w:val="00DE7A76"/>
    <w:rsid w:val="00DF60E9"/>
    <w:rsid w:val="00E02F97"/>
    <w:rsid w:val="00E0699C"/>
    <w:rsid w:val="00E23BB0"/>
    <w:rsid w:val="00E245C9"/>
    <w:rsid w:val="00E31E50"/>
    <w:rsid w:val="00E41E23"/>
    <w:rsid w:val="00E4673C"/>
    <w:rsid w:val="00E54110"/>
    <w:rsid w:val="00E5715E"/>
    <w:rsid w:val="00EA0BED"/>
    <w:rsid w:val="00EA2A69"/>
    <w:rsid w:val="00EB0BC4"/>
    <w:rsid w:val="00EC790E"/>
    <w:rsid w:val="00ED4F83"/>
    <w:rsid w:val="00ED50E3"/>
    <w:rsid w:val="00ED73F1"/>
    <w:rsid w:val="00EE5F68"/>
    <w:rsid w:val="00EF0D47"/>
    <w:rsid w:val="00F06D47"/>
    <w:rsid w:val="00F30CD7"/>
    <w:rsid w:val="00F3266F"/>
    <w:rsid w:val="00F66649"/>
    <w:rsid w:val="00F842C8"/>
    <w:rsid w:val="00F87886"/>
    <w:rsid w:val="00F94ADE"/>
    <w:rsid w:val="00FD299C"/>
    <w:rsid w:val="00FE6B06"/>
    <w:rsid w:val="00FF593B"/>
    <w:rsid w:val="06686C15"/>
    <w:rsid w:val="086352D4"/>
    <w:rsid w:val="0D79395B"/>
    <w:rsid w:val="124628FB"/>
    <w:rsid w:val="16487ACC"/>
    <w:rsid w:val="169816F2"/>
    <w:rsid w:val="1A9F4CB3"/>
    <w:rsid w:val="2DB84FD5"/>
    <w:rsid w:val="4DBA1EEE"/>
    <w:rsid w:val="511827FB"/>
    <w:rsid w:val="579C0B72"/>
    <w:rsid w:val="57ED250A"/>
    <w:rsid w:val="59141452"/>
    <w:rsid w:val="62246B74"/>
    <w:rsid w:val="63085638"/>
    <w:rsid w:val="65AB66C0"/>
    <w:rsid w:val="6E354A25"/>
    <w:rsid w:val="700D6170"/>
    <w:rsid w:val="755F676F"/>
    <w:rsid w:val="760B509D"/>
    <w:rsid w:val="7A2A728F"/>
    <w:rsid w:val="7BF42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/>
      <w:tabs>
        <w:tab w:val="center" w:pos="0"/>
      </w:tabs>
      <w:ind w:left="784"/>
      <w:jc w:val="left"/>
    </w:pPr>
    <w:rPr>
      <w:kern w:val="0"/>
      <w:szCs w:val="20"/>
    </w:r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Normal Indent"/>
    <w:basedOn w:val="1"/>
    <w:link w:val="26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annotation text"/>
    <w:basedOn w:val="1"/>
    <w:link w:val="30"/>
    <w:unhideWhenUsed/>
    <w:qFormat/>
    <w:uiPriority w:val="99"/>
    <w:pPr>
      <w:jc w:val="left"/>
    </w:p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annotation subject"/>
    <w:basedOn w:val="7"/>
    <w:next w:val="7"/>
    <w:link w:val="31"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annotation reference"/>
    <w:unhideWhenUsed/>
    <w:qFormat/>
    <w:uiPriority w:val="99"/>
    <w:rPr>
      <w:sz w:val="21"/>
      <w:szCs w:val="21"/>
    </w:rPr>
  </w:style>
  <w:style w:type="character" w:customStyle="1" w:styleId="24">
    <w:name w:val="页眉 Char"/>
    <w:link w:val="13"/>
    <w:qFormat/>
    <w:uiPriority w:val="99"/>
    <w:rPr>
      <w:sz w:val="18"/>
      <w:szCs w:val="18"/>
    </w:rPr>
  </w:style>
  <w:style w:type="character" w:customStyle="1" w:styleId="25">
    <w:name w:val="页脚 Char"/>
    <w:link w:val="12"/>
    <w:qFormat/>
    <w:uiPriority w:val="99"/>
    <w:rPr>
      <w:sz w:val="18"/>
      <w:szCs w:val="18"/>
    </w:rPr>
  </w:style>
  <w:style w:type="character" w:customStyle="1" w:styleId="26">
    <w:name w:val="正文缩进 Char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列表段落 字符"/>
    <w:link w:val="28"/>
    <w:qFormat/>
    <w:locked/>
    <w:uiPriority w:val="0"/>
    <w:rPr>
      <w:rFonts w:ascii="Calibri" w:hAnsi="Calibri"/>
    </w:rPr>
  </w:style>
  <w:style w:type="paragraph" w:customStyle="1" w:styleId="28">
    <w:name w:val="列出段落1"/>
    <w:basedOn w:val="1"/>
    <w:link w:val="27"/>
    <w:qFormat/>
    <w:uiPriority w:val="0"/>
    <w:pPr>
      <w:ind w:firstLine="420" w:firstLineChars="200"/>
    </w:pPr>
  </w:style>
  <w:style w:type="paragraph" w:customStyle="1" w:styleId="29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30">
    <w:name w:val="批注文字 Char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31">
    <w:name w:val="批注主题 Char"/>
    <w:link w:val="19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2">
    <w:name w:val="批注框文本 Char"/>
    <w:link w:val="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customStyle="1" w:styleId="34">
    <w:name w:val="列表段落"/>
    <w:basedOn w:val="1"/>
    <w:qFormat/>
    <w:uiPriority w:val="34"/>
    <w:pPr>
      <w:ind w:firstLine="420" w:firstLineChars="200"/>
    </w:pPr>
  </w:style>
  <w:style w:type="paragraph" w:customStyle="1" w:styleId="35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3970;&#26195;&#23431;\Desktop\&#21335;&#26041;&#21307;&#31185;&#22823;&#23398;&#31532;&#19977;&#38468;&#23646;&#21307;&#38498;-&#26816;&#39564;&#22806;&#36865;&#29992;&#25143;&#38656;&#27714;&#27169;&#26495;2020081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南方医科大学第三附属医院-检验外送用户需求模板20200810</Template>
  <Pages>6</Pages>
  <Words>691</Words>
  <Characters>3943</Characters>
  <Lines>32</Lines>
  <Paragraphs>9</Paragraphs>
  <TotalTime>16</TotalTime>
  <ScaleCrop>false</ScaleCrop>
  <LinksUpToDate>false</LinksUpToDate>
  <CharactersWithSpaces>4625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2022-01-05T01:47:00Z</dcterms:created>
  <dc:creator>蒲晓宇</dc:creator>
  <cp:lastModifiedBy>胡玉兰</cp:lastModifiedBy>
  <cp:lastPrinted>2022-01-05T04:04:00Z</cp:lastPrinted>
  <dcterms:modified xsi:type="dcterms:W3CDTF">2022-01-14T02:22:02Z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43A36AB0974F4137AA17236BED737E27</vt:lpwstr>
  </property>
</Properties>
</file>