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52"/>
          <w:szCs w:val="52"/>
        </w:rPr>
      </w:pPr>
      <w:r>
        <w:rPr>
          <w:rFonts w:hint="eastAsia" w:ascii="宋体" w:hAnsi="宋体" w:cs="宋体"/>
          <w:b/>
          <w:bCs/>
          <w:sz w:val="52"/>
          <w:szCs w:val="52"/>
        </w:rPr>
        <w:t>南方医科大学第三附属医院</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用户需求</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beforeLines="50" w:afterLines="50" w:line="360" w:lineRule="auto"/>
        <w:jc w:val="left"/>
        <w:rPr>
          <w:rFonts w:ascii="宋体" w:hAnsi="宋体" w:cs="宋体"/>
          <w:sz w:val="24"/>
          <w:szCs w:val="24"/>
        </w:rPr>
      </w:pPr>
      <w:r>
        <w:rPr>
          <w:rFonts w:hint="eastAsia" w:ascii="宋体" w:hAnsi="宋体" w:cs="宋体"/>
          <w:b/>
          <w:sz w:val="24"/>
          <w:szCs w:val="24"/>
        </w:rPr>
        <w:br w:type="page"/>
      </w:r>
    </w:p>
    <w:p>
      <w:pPr>
        <w:pStyle w:val="2"/>
        <w:numPr>
          <w:ilvl w:val="0"/>
          <w:numId w:val="1"/>
        </w:numPr>
        <w:spacing w:after="200" w:line="360" w:lineRule="auto"/>
        <w:rPr>
          <w:rFonts w:ascii="宋体" w:hAnsi="宋体" w:cs="宋体"/>
          <w:sz w:val="28"/>
          <w:szCs w:val="28"/>
        </w:rPr>
      </w:pPr>
      <w:r>
        <w:rPr>
          <w:rFonts w:hint="eastAsia" w:ascii="宋体" w:hAnsi="宋体" w:cs="宋体"/>
          <w:sz w:val="28"/>
          <w:szCs w:val="28"/>
        </w:rPr>
        <w:t>项目申请理由</w:t>
      </w:r>
    </w:p>
    <w:p>
      <w:pPr>
        <w:spacing w:line="360" w:lineRule="auto"/>
        <w:ind w:firstLine="480"/>
        <w:rPr>
          <w:rFonts w:eastAsiaTheme="minorEastAsia"/>
          <w:bCs/>
          <w:sz w:val="24"/>
          <w:szCs w:val="24"/>
        </w:rPr>
      </w:pPr>
      <w:r>
        <w:rPr>
          <w:rFonts w:eastAsiaTheme="minorEastAsia"/>
          <w:color w:val="000000"/>
          <w:sz w:val="24"/>
          <w:szCs w:val="24"/>
        </w:rPr>
        <w:t>我国是出生缺陷高发国，每年新增出生缺陷儿高达120万，约占每年出生人口总数4%-6%，其中染色体异常是导致出生缺陷的主要的疾病之一。染色体异常分为染色体数目异常和结构异常，染色体数目异常主要是染色体非整倍体疾病，如</w:t>
      </w:r>
      <w:r>
        <w:rPr>
          <w:rFonts w:eastAsiaTheme="minorEastAsia"/>
          <w:bCs/>
          <w:sz w:val="24"/>
          <w:szCs w:val="24"/>
        </w:rPr>
        <w:t>21三体、18三体、13三体综合征，这类三体综合征是临床最常见染色体疾病。新生儿中染色体异常的发病率为1/160，其中21-三体（唐氏综合征）、18-三体（爱德华氏综合征）和13-三体（帕陶氏综合征）是三种最主要常染色体非整倍体疾病，在新生儿中发病率分别为1/800~1/600、1/7000~1/3500和1/6000~1/5000。</w:t>
      </w:r>
    </w:p>
    <w:p>
      <w:pPr>
        <w:spacing w:line="360" w:lineRule="auto"/>
        <w:ind w:firstLine="480"/>
        <w:rPr>
          <w:rFonts w:eastAsiaTheme="minorEastAsia"/>
          <w:bCs/>
          <w:sz w:val="24"/>
          <w:szCs w:val="24"/>
        </w:rPr>
      </w:pPr>
      <w:r>
        <w:rPr>
          <w:rFonts w:eastAsiaTheme="minorEastAsia"/>
          <w:color w:val="000000"/>
          <w:sz w:val="24"/>
          <w:szCs w:val="24"/>
        </w:rPr>
        <w:t>由于染色体疾病目前尚无有效的治疗方法，仅能通过产前筛查和产前诊断来进行预防</w:t>
      </w:r>
      <w:bookmarkStart w:id="0" w:name="OLE_LINK7"/>
      <w:bookmarkStart w:id="1" w:name="OLE_LINK6"/>
      <w:r>
        <w:rPr>
          <w:rFonts w:eastAsiaTheme="minorEastAsia"/>
          <w:color w:val="000000"/>
          <w:sz w:val="24"/>
          <w:szCs w:val="24"/>
        </w:rPr>
        <w:t>，</w:t>
      </w:r>
      <w:r>
        <w:rPr>
          <w:rFonts w:eastAsiaTheme="minorEastAsia"/>
          <w:bCs/>
          <w:sz w:val="24"/>
          <w:szCs w:val="24"/>
        </w:rPr>
        <w:t>因此，通过产前筛查和产前诊断进行出生缺陷干预尤为重要。</w:t>
      </w:r>
      <w:bookmarkEnd w:id="0"/>
      <w:bookmarkEnd w:id="1"/>
      <w:r>
        <w:rPr>
          <w:rFonts w:eastAsiaTheme="minorEastAsia"/>
          <w:color w:val="000000"/>
          <w:sz w:val="24"/>
          <w:szCs w:val="24"/>
        </w:rPr>
        <w:t>但是临床常用的筛查方法存在很高的假阳性率和漏检率，</w:t>
      </w:r>
      <w:r>
        <w:rPr>
          <w:rFonts w:eastAsiaTheme="minorEastAsia"/>
          <w:bCs/>
          <w:sz w:val="24"/>
          <w:szCs w:val="24"/>
        </w:rPr>
        <w:t>产前诊断方法都是通过侵入性方法获取胎儿样本，如羊膜腔穿刺、绒毛活检、脐静脉穿刺等，这些技术所需周期长，且均为有创性的，可能引起流产、胎儿损伤、出血、感染等。另外，由于羊水、脐血细胞不易培养，不便于大规模的产前普查。</w:t>
      </w:r>
    </w:p>
    <w:p>
      <w:pPr>
        <w:spacing w:line="360" w:lineRule="auto"/>
        <w:ind w:firstLine="480" w:firstLineChars="200"/>
        <w:rPr>
          <w:rFonts w:eastAsiaTheme="minorEastAsia"/>
          <w:bCs/>
          <w:sz w:val="24"/>
          <w:szCs w:val="24"/>
        </w:rPr>
      </w:pPr>
      <w:r>
        <w:rPr>
          <w:rFonts w:eastAsiaTheme="minorEastAsia"/>
          <w:bCs/>
          <w:sz w:val="24"/>
          <w:szCs w:val="24"/>
        </w:rPr>
        <w:t>第二代高通量测序技术对胎儿染色体非整倍体进行检测的方法相比传统方法具有明显优势，只需抽取母体外周血检测，避免传统侵入性方法可能对孕妇和胎儿带来的危害，另外直接检测DNA序列，相比血清蛋白标志物和超声检查，检测的准确性和灵敏度大大提高，此外通过深度测序，实现对微量胎儿游离DNA的准确检测，克服传统检测方法因胎儿游离DNA含量过低而呈现假阴性率过高的缺点。</w:t>
      </w:r>
    </w:p>
    <w:p>
      <w:pPr>
        <w:spacing w:line="360" w:lineRule="auto"/>
        <w:ind w:firstLine="480" w:firstLineChars="200"/>
        <w:rPr>
          <w:rFonts w:eastAsiaTheme="minorEastAsia"/>
          <w:bCs/>
          <w:sz w:val="24"/>
          <w:szCs w:val="24"/>
        </w:rPr>
      </w:pPr>
    </w:p>
    <w:p>
      <w:pPr>
        <w:pStyle w:val="2"/>
        <w:numPr>
          <w:ilvl w:val="0"/>
          <w:numId w:val="2"/>
        </w:numPr>
        <w:spacing w:before="200" w:after="200" w:line="360" w:lineRule="auto"/>
        <w:rPr>
          <w:rFonts w:ascii="宋体" w:hAnsi="宋体" w:cs="宋体"/>
          <w:sz w:val="28"/>
          <w:szCs w:val="28"/>
        </w:rPr>
      </w:pPr>
      <w:bookmarkStart w:id="2" w:name="_Toc17711"/>
      <w:r>
        <w:rPr>
          <w:rFonts w:hint="eastAsia" w:ascii="宋体" w:hAnsi="宋体" w:cs="宋体"/>
          <w:sz w:val="28"/>
          <w:szCs w:val="28"/>
        </w:rPr>
        <w:t>项目概况</w:t>
      </w:r>
      <w:bookmarkEnd w:id="2"/>
      <w:r>
        <w:rPr>
          <w:rFonts w:hint="eastAsia" w:ascii="宋体" w:hAnsi="宋体" w:cs="宋体"/>
          <w:sz w:val="28"/>
          <w:szCs w:val="28"/>
        </w:rPr>
        <w:t>（按实际需要调整，应包含以下内容）</w:t>
      </w:r>
    </w:p>
    <w:p>
      <w:pPr>
        <w:widowControl/>
        <w:spacing w:line="240" w:lineRule="atLeast"/>
        <w:jc w:val="left"/>
        <w:rPr>
          <w:rFonts w:ascii="宋体" w:hAnsi="宋体" w:cs="宋体"/>
          <w:sz w:val="28"/>
          <w:szCs w:val="28"/>
        </w:rPr>
      </w:pPr>
      <w:r>
        <w:rPr>
          <w:rFonts w:hint="eastAsia" w:ascii="宋体" w:hAnsi="宋体" w:cs="宋体"/>
          <w:sz w:val="28"/>
          <w:szCs w:val="28"/>
        </w:rPr>
        <w:t>1.项目名称：染色体非整倍体异常检测NIPT项目、染色体非整倍体异常检测 PLUS 2.0项目</w:t>
      </w:r>
    </w:p>
    <w:p>
      <w:pPr>
        <w:spacing w:line="276" w:lineRule="auto"/>
        <w:rPr>
          <w:rFonts w:ascii="宋体" w:hAnsi="宋体" w:cs="宋体"/>
          <w:sz w:val="28"/>
          <w:szCs w:val="28"/>
        </w:rPr>
      </w:pPr>
      <w:r>
        <w:rPr>
          <w:rFonts w:hint="eastAsia" w:ascii="宋体" w:hAnsi="宋体" w:cs="宋体"/>
          <w:sz w:val="28"/>
          <w:szCs w:val="28"/>
        </w:rPr>
        <w:t>2.预计年检测数量：500</w:t>
      </w:r>
    </w:p>
    <w:p>
      <w:pPr>
        <w:spacing w:line="276" w:lineRule="auto"/>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.检测项目目录</w:t>
      </w:r>
    </w:p>
    <w:tbl>
      <w:tblPr>
        <w:tblStyle w:val="21"/>
        <w:tblW w:w="9677" w:type="dxa"/>
        <w:jc w:val="center"/>
        <w:tblLayout w:type="fixed"/>
        <w:tblCellMar>
          <w:top w:w="0" w:type="dxa"/>
          <w:left w:w="108" w:type="dxa"/>
          <w:bottom w:w="0" w:type="dxa"/>
          <w:right w:w="108" w:type="dxa"/>
        </w:tblCellMar>
      </w:tblPr>
      <w:tblGrid>
        <w:gridCol w:w="690"/>
        <w:gridCol w:w="1964"/>
        <w:gridCol w:w="2550"/>
        <w:gridCol w:w="1118"/>
        <w:gridCol w:w="1517"/>
        <w:gridCol w:w="815"/>
        <w:gridCol w:w="1023"/>
      </w:tblGrid>
      <w:tr>
        <w:tblPrEx>
          <w:tblCellMar>
            <w:top w:w="0" w:type="dxa"/>
            <w:left w:w="108" w:type="dxa"/>
            <w:bottom w:w="0" w:type="dxa"/>
            <w:right w:w="108" w:type="dxa"/>
          </w:tblCellMar>
        </w:tblPrEx>
        <w:trPr>
          <w:trHeight w:val="27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序号</w:t>
            </w:r>
          </w:p>
        </w:tc>
        <w:tc>
          <w:tcPr>
            <w:tcW w:w="1964"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检测项目</w:t>
            </w:r>
          </w:p>
          <w:p>
            <w:pPr>
              <w:widowControl/>
              <w:spacing w:line="240" w:lineRule="atLeast"/>
              <w:jc w:val="left"/>
              <w:rPr>
                <w:rFonts w:hint="eastAsia" w:eastAsiaTheme="minorEastAsia"/>
                <w:sz w:val="20"/>
                <w:szCs w:val="20"/>
              </w:rPr>
            </w:pPr>
            <w:r>
              <w:rPr>
                <w:rFonts w:hint="eastAsia" w:eastAsiaTheme="minorEastAsia"/>
                <w:sz w:val="20"/>
                <w:szCs w:val="20"/>
              </w:rPr>
              <w:t>名称</w:t>
            </w:r>
          </w:p>
        </w:tc>
        <w:tc>
          <w:tcPr>
            <w:tcW w:w="2550"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标本类型</w:t>
            </w:r>
          </w:p>
        </w:tc>
        <w:tc>
          <w:tcPr>
            <w:tcW w:w="1118"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收费项目名称</w:t>
            </w:r>
          </w:p>
        </w:tc>
        <w:tc>
          <w:tcPr>
            <w:tcW w:w="1517"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收费编码</w:t>
            </w:r>
          </w:p>
        </w:tc>
        <w:tc>
          <w:tcPr>
            <w:tcW w:w="815"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单位</w:t>
            </w:r>
          </w:p>
        </w:tc>
        <w:tc>
          <w:tcPr>
            <w:tcW w:w="1023" w:type="dxa"/>
            <w:tcBorders>
              <w:top w:val="single" w:color="auto" w:sz="4" w:space="0"/>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价格（元）</w:t>
            </w:r>
          </w:p>
        </w:tc>
      </w:tr>
      <w:tr>
        <w:tblPrEx>
          <w:tblCellMar>
            <w:top w:w="0" w:type="dxa"/>
            <w:left w:w="108" w:type="dxa"/>
            <w:bottom w:w="0" w:type="dxa"/>
            <w:right w:w="108" w:type="dxa"/>
          </w:tblCellMar>
        </w:tblPrEx>
        <w:trPr>
          <w:trHeight w:val="450"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1</w:t>
            </w:r>
          </w:p>
        </w:tc>
        <w:tc>
          <w:tcPr>
            <w:tcW w:w="1964"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染色体非整倍体异常检测NIPT项目</w:t>
            </w:r>
          </w:p>
          <w:p>
            <w:pPr>
              <w:widowControl/>
              <w:spacing w:line="240" w:lineRule="atLeast"/>
              <w:jc w:val="left"/>
              <w:rPr>
                <w:rFonts w:hint="eastAsia" w:eastAsiaTheme="minorEastAsia"/>
                <w:sz w:val="20"/>
                <w:szCs w:val="20"/>
              </w:rPr>
            </w:pPr>
            <w:r>
              <w:rPr>
                <w:rFonts w:hint="eastAsia" w:eastAsiaTheme="minorEastAsia"/>
                <w:sz w:val="20"/>
                <w:szCs w:val="20"/>
              </w:rPr>
              <w:t>(已含保险）</w:t>
            </w:r>
          </w:p>
        </w:tc>
        <w:tc>
          <w:tcPr>
            <w:tcW w:w="2550"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①7mL全血，专用管，常温运输</w:t>
            </w:r>
          </w:p>
          <w:p>
            <w:pPr>
              <w:widowControl/>
              <w:spacing w:line="240" w:lineRule="atLeast"/>
              <w:jc w:val="left"/>
              <w:rPr>
                <w:rFonts w:hint="eastAsia" w:eastAsiaTheme="minorEastAsia"/>
                <w:sz w:val="20"/>
                <w:szCs w:val="20"/>
              </w:rPr>
            </w:pPr>
            <w:r>
              <w:rPr>
                <w:rFonts w:hint="eastAsia" w:eastAsiaTheme="minorEastAsia"/>
                <w:sz w:val="20"/>
                <w:szCs w:val="20"/>
              </w:rPr>
              <w:t>②3管750ul血浆，-20℃以下（干冰）运输，干冰约1天消耗3.5-5kg，注意补充</w:t>
            </w:r>
          </w:p>
          <w:p>
            <w:pPr>
              <w:widowControl/>
              <w:spacing w:line="240" w:lineRule="atLeast"/>
              <w:jc w:val="left"/>
              <w:rPr>
                <w:rFonts w:hint="eastAsia" w:eastAsiaTheme="minorEastAsia"/>
                <w:sz w:val="20"/>
                <w:szCs w:val="20"/>
              </w:rPr>
            </w:pPr>
            <w:r>
              <w:rPr>
                <w:rFonts w:hint="eastAsia" w:eastAsiaTheme="minorEastAsia"/>
                <w:sz w:val="20"/>
                <w:szCs w:val="20"/>
              </w:rPr>
              <w:t>72小时内送达</w:t>
            </w:r>
          </w:p>
        </w:tc>
        <w:tc>
          <w:tcPr>
            <w:tcW w:w="1118"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21-三体综合征</w:t>
            </w:r>
          </w:p>
        </w:tc>
        <w:tc>
          <w:tcPr>
            <w:tcW w:w="1517"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250700010-2</w:t>
            </w:r>
          </w:p>
        </w:tc>
        <w:tc>
          <w:tcPr>
            <w:tcW w:w="815"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eastAsia="zh-CN"/>
              </w:rPr>
            </w:pPr>
            <w:r>
              <w:rPr>
                <w:rFonts w:hint="eastAsia" w:eastAsiaTheme="minorEastAsia"/>
                <w:sz w:val="20"/>
                <w:szCs w:val="20"/>
                <w:lang w:eastAsia="zh-CN"/>
              </w:rPr>
              <w:t>次</w:t>
            </w:r>
          </w:p>
        </w:tc>
        <w:tc>
          <w:tcPr>
            <w:tcW w:w="1023"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1568.6</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2</w:t>
            </w:r>
          </w:p>
        </w:tc>
        <w:tc>
          <w:tcPr>
            <w:tcW w:w="1964"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染色体非整倍体异常检测 PLUS项目</w:t>
            </w:r>
          </w:p>
          <w:p>
            <w:pPr>
              <w:widowControl/>
              <w:spacing w:line="240" w:lineRule="atLeast"/>
              <w:jc w:val="left"/>
              <w:rPr>
                <w:rFonts w:hint="eastAsia" w:eastAsiaTheme="minorEastAsia"/>
                <w:sz w:val="20"/>
                <w:szCs w:val="20"/>
              </w:rPr>
            </w:pPr>
            <w:r>
              <w:rPr>
                <w:rFonts w:hint="eastAsia" w:eastAsiaTheme="minorEastAsia"/>
                <w:sz w:val="20"/>
                <w:szCs w:val="20"/>
              </w:rPr>
              <w:t>(已含保险）</w:t>
            </w:r>
          </w:p>
        </w:tc>
        <w:tc>
          <w:tcPr>
            <w:tcW w:w="2550"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①7mL全血，专用管，常温运输</w:t>
            </w:r>
          </w:p>
          <w:p>
            <w:pPr>
              <w:widowControl/>
              <w:spacing w:line="240" w:lineRule="atLeast"/>
              <w:jc w:val="left"/>
              <w:rPr>
                <w:rFonts w:hint="eastAsia" w:eastAsiaTheme="minorEastAsia"/>
                <w:sz w:val="20"/>
                <w:szCs w:val="20"/>
              </w:rPr>
            </w:pPr>
            <w:r>
              <w:rPr>
                <w:rFonts w:hint="eastAsia" w:eastAsiaTheme="minorEastAsia"/>
                <w:sz w:val="20"/>
                <w:szCs w:val="20"/>
              </w:rPr>
              <w:t>②3管750ul血浆，-20℃以下（干冰）运输，干冰约1天消耗3.5-5kg，注意补充72小时内送达</w:t>
            </w:r>
          </w:p>
        </w:tc>
        <w:tc>
          <w:tcPr>
            <w:tcW w:w="1118"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三体综合征</w:t>
            </w:r>
          </w:p>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高能量测序</w:t>
            </w:r>
          </w:p>
        </w:tc>
        <w:tc>
          <w:tcPr>
            <w:tcW w:w="1517"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250700010-2</w:t>
            </w:r>
          </w:p>
          <w:p>
            <w:pPr>
              <w:widowControl/>
              <w:spacing w:line="240" w:lineRule="atLeast"/>
              <w:jc w:val="left"/>
              <w:rPr>
                <w:rFonts w:hint="eastAsia" w:eastAsiaTheme="minorEastAsia"/>
                <w:sz w:val="20"/>
                <w:szCs w:val="20"/>
              </w:rPr>
            </w:pPr>
            <w:r>
              <w:rPr>
                <w:rFonts w:hint="eastAsia" w:eastAsiaTheme="minorEastAsia"/>
                <w:sz w:val="20"/>
                <w:szCs w:val="20"/>
                <w:lang w:val="en-US" w:eastAsia="zh-CN"/>
              </w:rPr>
              <w:t>25070031F</w:t>
            </w:r>
            <w:r>
              <w:rPr>
                <w:rFonts w:hint="eastAsia" w:eastAsiaTheme="minorEastAsia"/>
                <w:sz w:val="20"/>
                <w:szCs w:val="20"/>
              </w:rPr>
              <w:t>×4</w:t>
            </w:r>
          </w:p>
        </w:tc>
        <w:tc>
          <w:tcPr>
            <w:tcW w:w="815"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eastAsia="zh-CN"/>
              </w:rPr>
            </w:pPr>
            <w:r>
              <w:rPr>
                <w:rFonts w:hint="eastAsia" w:eastAsiaTheme="minorEastAsia"/>
                <w:sz w:val="20"/>
                <w:szCs w:val="20"/>
                <w:lang w:eastAsia="zh-CN"/>
              </w:rPr>
              <w:t>次</w:t>
            </w:r>
          </w:p>
        </w:tc>
        <w:tc>
          <w:tcPr>
            <w:tcW w:w="1023"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2488.6</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3</w:t>
            </w:r>
          </w:p>
        </w:tc>
        <w:tc>
          <w:tcPr>
            <w:tcW w:w="1964"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染色体非整倍体异常检测 PLUS 2.0项目</w:t>
            </w:r>
          </w:p>
          <w:p>
            <w:pPr>
              <w:widowControl/>
              <w:spacing w:line="240" w:lineRule="atLeast"/>
              <w:jc w:val="left"/>
              <w:rPr>
                <w:rFonts w:hint="eastAsia" w:eastAsiaTheme="minorEastAsia"/>
                <w:sz w:val="20"/>
                <w:szCs w:val="20"/>
              </w:rPr>
            </w:pPr>
            <w:r>
              <w:rPr>
                <w:rFonts w:hint="eastAsia" w:eastAsiaTheme="minorEastAsia"/>
                <w:sz w:val="20"/>
                <w:szCs w:val="20"/>
              </w:rPr>
              <w:t>(已含保险）</w:t>
            </w:r>
          </w:p>
        </w:tc>
        <w:tc>
          <w:tcPr>
            <w:tcW w:w="2550"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①7mL全血，专用管，常温运输</w:t>
            </w:r>
          </w:p>
          <w:p>
            <w:pPr>
              <w:widowControl/>
              <w:spacing w:line="240" w:lineRule="atLeast"/>
              <w:jc w:val="left"/>
              <w:rPr>
                <w:rFonts w:hint="eastAsia" w:eastAsiaTheme="minorEastAsia"/>
                <w:sz w:val="20"/>
                <w:szCs w:val="20"/>
              </w:rPr>
            </w:pPr>
            <w:r>
              <w:rPr>
                <w:rFonts w:hint="eastAsia" w:eastAsiaTheme="minorEastAsia"/>
                <w:sz w:val="20"/>
                <w:szCs w:val="20"/>
              </w:rPr>
              <w:t>②3管750ul血浆，-20℃以下（干冰）运输，干冰约1天消耗3.5-5kg，注意补充72小时内送达</w:t>
            </w:r>
          </w:p>
        </w:tc>
        <w:tc>
          <w:tcPr>
            <w:tcW w:w="1118"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三体综合征</w:t>
            </w:r>
          </w:p>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高能量测序</w:t>
            </w:r>
          </w:p>
        </w:tc>
        <w:tc>
          <w:tcPr>
            <w:tcW w:w="1517"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rPr>
            </w:pPr>
            <w:r>
              <w:rPr>
                <w:rFonts w:hint="eastAsia" w:eastAsiaTheme="minorEastAsia"/>
                <w:sz w:val="20"/>
                <w:szCs w:val="20"/>
              </w:rPr>
              <w:t>250700010-2</w:t>
            </w:r>
          </w:p>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25070031F</w:t>
            </w:r>
            <w:r>
              <w:rPr>
                <w:rFonts w:hint="eastAsia" w:eastAsiaTheme="minorEastAsia"/>
                <w:sz w:val="20"/>
                <w:szCs w:val="20"/>
              </w:rPr>
              <w:t>×</w:t>
            </w:r>
            <w:r>
              <w:rPr>
                <w:rFonts w:hint="eastAsia" w:eastAsiaTheme="minorEastAsia"/>
                <w:sz w:val="20"/>
                <w:szCs w:val="20"/>
                <w:lang w:val="en-US" w:eastAsia="zh-CN"/>
              </w:rPr>
              <w:t>5</w:t>
            </w:r>
          </w:p>
        </w:tc>
        <w:tc>
          <w:tcPr>
            <w:tcW w:w="815"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eastAsia="zh-CN"/>
              </w:rPr>
            </w:pPr>
            <w:r>
              <w:rPr>
                <w:rFonts w:hint="eastAsia" w:eastAsiaTheme="minorEastAsia"/>
                <w:sz w:val="20"/>
                <w:szCs w:val="20"/>
                <w:lang w:eastAsia="zh-CN"/>
              </w:rPr>
              <w:t>次</w:t>
            </w:r>
          </w:p>
        </w:tc>
        <w:tc>
          <w:tcPr>
            <w:tcW w:w="1023" w:type="dxa"/>
            <w:tcBorders>
              <w:top w:val="nil"/>
              <w:left w:val="nil"/>
              <w:bottom w:val="single" w:color="auto" w:sz="4" w:space="0"/>
              <w:right w:val="single" w:color="auto" w:sz="4" w:space="0"/>
            </w:tcBorders>
            <w:noWrap/>
            <w:vAlign w:val="center"/>
          </w:tcPr>
          <w:p>
            <w:pPr>
              <w:widowControl/>
              <w:spacing w:line="240" w:lineRule="atLeast"/>
              <w:jc w:val="left"/>
              <w:rPr>
                <w:rFonts w:hint="eastAsia" w:eastAsiaTheme="minorEastAsia"/>
                <w:sz w:val="20"/>
                <w:szCs w:val="20"/>
                <w:lang w:val="en-US" w:eastAsia="zh-CN"/>
              </w:rPr>
            </w:pPr>
            <w:r>
              <w:rPr>
                <w:rFonts w:hint="eastAsia" w:eastAsiaTheme="minorEastAsia"/>
                <w:sz w:val="20"/>
                <w:szCs w:val="20"/>
                <w:lang w:val="en-US" w:eastAsia="zh-CN"/>
              </w:rPr>
              <w:t>2718.6</w:t>
            </w:r>
          </w:p>
        </w:tc>
      </w:tr>
    </w:tbl>
    <w:p>
      <w:pPr>
        <w:spacing w:line="276" w:lineRule="auto"/>
        <w:rPr>
          <w:rFonts w:ascii="宋体" w:hAnsi="宋体" w:cs="宋体"/>
          <w:sz w:val="28"/>
          <w:szCs w:val="28"/>
        </w:rPr>
      </w:pPr>
    </w:p>
    <w:p>
      <w:pPr>
        <w:pStyle w:val="2"/>
        <w:numPr>
          <w:ilvl w:val="0"/>
          <w:numId w:val="2"/>
        </w:numPr>
        <w:spacing w:before="300" w:after="220" w:line="360" w:lineRule="auto"/>
        <w:rPr>
          <w:rFonts w:ascii="宋体" w:hAnsi="宋体" w:cs="宋体"/>
          <w:sz w:val="28"/>
          <w:szCs w:val="28"/>
        </w:rPr>
      </w:pPr>
      <w:bookmarkStart w:id="3" w:name="_GoBack"/>
      <w:bookmarkEnd w:id="3"/>
      <w:r>
        <w:rPr>
          <w:rFonts w:hint="eastAsia" w:ascii="宋体" w:hAnsi="宋体" w:cs="宋体"/>
          <w:sz w:val="28"/>
          <w:szCs w:val="28"/>
        </w:rPr>
        <w:t>技术要求</w:t>
      </w:r>
    </w:p>
    <w:p>
      <w:pPr>
        <w:widowControl/>
        <w:numPr>
          <w:ilvl w:val="0"/>
          <w:numId w:val="3"/>
        </w:numPr>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公司资格要求</w:t>
      </w:r>
    </w:p>
    <w:p>
      <w:pPr>
        <w:spacing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t>检测机构</w:t>
      </w:r>
      <w:r>
        <w:rPr>
          <w:rFonts w:hint="eastAsia" w:ascii="Times New Roman" w:hAnsi="Times New Roman" w:eastAsiaTheme="minorEastAsia"/>
          <w:color w:val="000000" w:themeColor="text1"/>
          <w:sz w:val="24"/>
          <w:szCs w:val="24"/>
          <w14:textFill>
            <w14:solidFill>
              <w14:schemeClr w14:val="tx1"/>
            </w14:solidFill>
          </w14:textFill>
        </w:rPr>
        <w:t>具备开展孕妇外周血胎儿游离DNA产前筛查与诊断相应的主要设备，包括DNA提取设备、PCR仪、高通量基因测序仪或其他分子检测设备等。设备的种类、数量与实际开展检测项目及检测量相匹配。同时，设备、试剂和数据分析软件符合《医疗器械监督管理条例》和《医疗器械注册管理办法》等相关规定，经过食品药品监督管理部门批准注册。</w:t>
      </w:r>
    </w:p>
    <w:p>
      <w:pPr>
        <w:spacing w:line="360" w:lineRule="auto"/>
        <w:ind w:firstLine="480" w:firstLineChars="200"/>
        <w:rPr>
          <w:rFonts w:eastAsiaTheme="minorEastAsia"/>
          <w:sz w:val="24"/>
          <w:szCs w:val="24"/>
        </w:rPr>
      </w:pPr>
      <w:r>
        <w:rPr>
          <w:rFonts w:hint="eastAsia" w:ascii="Times New Roman" w:hAnsi="Times New Roman" w:eastAsiaTheme="minorEastAsia"/>
          <w:color w:val="000000" w:themeColor="text1"/>
          <w:sz w:val="24"/>
          <w:szCs w:val="24"/>
          <w14:textFill>
            <w14:solidFill>
              <w14:schemeClr w14:val="tx1"/>
            </w14:solidFill>
          </w14:textFill>
        </w:rPr>
        <w:t>检测机构</w:t>
      </w:r>
      <w:r>
        <w:rPr>
          <w:rFonts w:ascii="Times New Roman" w:hAnsi="Times New Roman" w:eastAsiaTheme="minorEastAsia"/>
          <w:color w:val="000000" w:themeColor="text1"/>
          <w:sz w:val="24"/>
          <w:szCs w:val="24"/>
          <w14:textFill>
            <w14:solidFill>
              <w14:schemeClr w14:val="tx1"/>
            </w14:solidFill>
          </w14:textFill>
        </w:rPr>
        <w:t>严格按照医学独立实验室规范建设，并取得相应的经营证书</w:t>
      </w:r>
      <w:r>
        <w:rPr>
          <w:rFonts w:hint="eastAsia" w:ascii="Times New Roman" w:hAnsi="Times New Roman" w:eastAsiaTheme="minorEastAsia"/>
          <w:color w:val="000000" w:themeColor="text1"/>
          <w:sz w:val="24"/>
          <w:szCs w:val="24"/>
          <w14:textFill>
            <w14:solidFill>
              <w14:schemeClr w14:val="tx1"/>
            </w14:solidFill>
          </w14:textFill>
        </w:rPr>
        <w:t>，具备临床基因扩增检验实验室资质，严格遵守《医疗机构临床实验室管理办法》、《医疗机构临床基因扩增检验实验室管理办法》等相关规定，相应检验项目接受国家卫生计生委临床检验中心组织的室间质量评价。</w:t>
      </w:r>
    </w:p>
    <w:p>
      <w:pPr>
        <w:widowControl/>
        <w:numPr>
          <w:ilvl w:val="0"/>
          <w:numId w:val="3"/>
        </w:numPr>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项目检测</w:t>
      </w:r>
      <w:r>
        <w:rPr>
          <w:rFonts w:hint="eastAsia" w:ascii="宋体" w:hAnsi="宋体" w:cs="宋体"/>
          <w:color w:val="000000" w:themeColor="text1"/>
          <w:kern w:val="0"/>
          <w:sz w:val="28"/>
          <w:szCs w:val="28"/>
          <w:lang w:eastAsia="zh-CN"/>
          <w14:textFill>
            <w14:solidFill>
              <w14:schemeClr w14:val="tx1"/>
            </w14:solidFill>
          </w14:textFill>
        </w:rPr>
        <w:t>目录</w:t>
      </w:r>
    </w:p>
    <w:tbl>
      <w:tblPr>
        <w:tblStyle w:val="21"/>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613"/>
        <w:gridCol w:w="2391"/>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40" w:type="pct"/>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41" w:type="pct"/>
            <w:noWrap/>
            <w:vAlign w:val="center"/>
          </w:tcPr>
          <w:p>
            <w:pPr>
              <w:widowControl/>
              <w:jc w:val="center"/>
              <w:rPr>
                <w:rFonts w:eastAsia="等线"/>
                <w:b/>
                <w:bCs/>
                <w:color w:val="000000"/>
                <w:kern w:val="0"/>
                <w:szCs w:val="21"/>
              </w:rPr>
            </w:pPr>
            <w:r>
              <w:rPr>
                <w:rFonts w:hint="eastAsia" w:ascii="宋体" w:hAnsi="宋体"/>
                <w:b/>
                <w:bCs/>
                <w:color w:val="000000"/>
                <w:kern w:val="0"/>
                <w:szCs w:val="21"/>
              </w:rPr>
              <w:t>检测项目名称</w:t>
            </w:r>
          </w:p>
        </w:tc>
        <w:tc>
          <w:tcPr>
            <w:tcW w:w="1395" w:type="pct"/>
            <w:noWrap/>
            <w:vAlign w:val="center"/>
          </w:tcPr>
          <w:p>
            <w:pPr>
              <w:widowControl/>
              <w:jc w:val="center"/>
              <w:rPr>
                <w:rFonts w:eastAsia="等线"/>
                <w:b/>
                <w:bCs/>
                <w:color w:val="000000"/>
                <w:kern w:val="0"/>
                <w:szCs w:val="21"/>
              </w:rPr>
            </w:pPr>
            <w:r>
              <w:rPr>
                <w:rFonts w:hint="eastAsia" w:ascii="宋体" w:hAnsi="宋体"/>
                <w:b/>
                <w:bCs/>
                <w:color w:val="000000"/>
                <w:kern w:val="0"/>
                <w:szCs w:val="21"/>
              </w:rPr>
              <w:t>项目说明</w:t>
            </w:r>
          </w:p>
        </w:tc>
        <w:tc>
          <w:tcPr>
            <w:tcW w:w="2323" w:type="pct"/>
            <w:noWrap/>
            <w:vAlign w:val="center"/>
          </w:tcPr>
          <w:p>
            <w:pPr>
              <w:widowControl/>
              <w:jc w:val="center"/>
              <w:rPr>
                <w:rFonts w:eastAsia="等线"/>
                <w:b/>
                <w:bCs/>
                <w:color w:val="000000"/>
                <w:kern w:val="0"/>
                <w:szCs w:val="21"/>
              </w:rPr>
            </w:pPr>
            <w:r>
              <w:rPr>
                <w:rFonts w:hint="eastAsia" w:ascii="宋体" w:hAnsi="宋体"/>
                <w:b/>
                <w:bCs/>
                <w:color w:val="000000"/>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40" w:type="pct"/>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941" w:type="pct"/>
            <w:noWrap/>
            <w:vAlign w:val="center"/>
          </w:tcPr>
          <w:p>
            <w:pPr>
              <w:pStyle w:val="18"/>
              <w:jc w:val="center"/>
              <w:rPr>
                <w:rFonts w:ascii="Times New Roman" w:hAnsi="Times New Roman" w:cs="Times New Roman" w:eastAsiaTheme="minorEastAsia"/>
                <w:bCs/>
                <w:sz w:val="22"/>
              </w:rPr>
            </w:pPr>
            <w:r>
              <w:rPr>
                <w:rFonts w:ascii="Times New Roman" w:hAnsi="Times New Roman" w:cs="Times New Roman" w:eastAsiaTheme="minorEastAsia"/>
                <w:bCs/>
                <w:sz w:val="22"/>
              </w:rPr>
              <w:t>NIPT</w:t>
            </w:r>
          </w:p>
        </w:tc>
        <w:tc>
          <w:tcPr>
            <w:tcW w:w="1395" w:type="pct"/>
            <w:noWrap/>
            <w:vAlign w:val="center"/>
          </w:tcPr>
          <w:p>
            <w:pPr>
              <w:widowControl/>
              <w:jc w:val="center"/>
              <w:rPr>
                <w:rFonts w:ascii="宋体" w:hAnsi="宋体" w:cs="宋体"/>
                <w:b/>
                <w:bCs/>
                <w:color w:val="000000"/>
                <w:kern w:val="0"/>
                <w:szCs w:val="21"/>
              </w:rPr>
            </w:pPr>
            <w:r>
              <w:rPr>
                <w:rFonts w:hint="eastAsia" w:ascii="宋体" w:hAnsi="宋体" w:cs="宋体"/>
                <w:bCs/>
                <w:szCs w:val="21"/>
              </w:rPr>
              <w:t>检测21.18.13号染色体非整倍体</w:t>
            </w:r>
          </w:p>
        </w:tc>
        <w:tc>
          <w:tcPr>
            <w:tcW w:w="2323" w:type="pct"/>
            <w:vMerge w:val="restart"/>
            <w:noWrap/>
            <w:vAlign w:val="center"/>
          </w:tcPr>
          <w:p>
            <w:pPr>
              <w:widowControl/>
              <w:jc w:val="left"/>
              <w:rPr>
                <w:rFonts w:ascii="宋体" w:hAnsi="宋体"/>
                <w:color w:val="000000"/>
                <w:kern w:val="0"/>
                <w:szCs w:val="21"/>
              </w:rPr>
            </w:pPr>
            <w:r>
              <w:rPr>
                <w:rFonts w:hint="eastAsia" w:ascii="宋体" w:hAnsi="宋体"/>
                <w:color w:val="000000"/>
                <w:kern w:val="0"/>
                <w:szCs w:val="21"/>
              </w:rPr>
              <w:t>①测序参数：检测数据量6Mb，测序深度</w:t>
            </w:r>
          </w:p>
          <w:p>
            <w:pPr>
              <w:widowControl/>
              <w:jc w:val="left"/>
              <w:rPr>
                <w:rFonts w:ascii="宋体" w:hAnsi="宋体"/>
                <w:bCs/>
                <w:szCs w:val="21"/>
              </w:rPr>
            </w:pPr>
            <w:r>
              <w:rPr>
                <w:rFonts w:hint="eastAsia" w:ascii="宋体" w:hAnsi="宋体"/>
                <w:color w:val="000000"/>
                <w:kern w:val="0"/>
                <w:szCs w:val="21"/>
              </w:rPr>
              <w:t>0.4-0.6X，检测分辨率≥1Mb；②</w:t>
            </w:r>
            <w:r>
              <w:rPr>
                <w:rFonts w:hint="eastAsia" w:ascii="宋体" w:hAnsi="宋体"/>
                <w:bCs/>
                <w:szCs w:val="21"/>
              </w:rPr>
              <w:t>检测质量合格的标本严格按照产品说明书进行实验室结果判读；</w:t>
            </w:r>
            <w:r>
              <w:rPr>
                <w:rFonts w:hint="eastAsia" w:ascii="宋体" w:hAnsi="宋体"/>
                <w:color w:val="000000"/>
                <w:kern w:val="0"/>
                <w:szCs w:val="21"/>
              </w:rPr>
              <w:t>③</w:t>
            </w:r>
            <w:r>
              <w:rPr>
                <w:rFonts w:hint="eastAsia" w:ascii="宋体" w:hAnsi="宋体"/>
                <w:bCs/>
                <w:szCs w:val="21"/>
              </w:rPr>
              <w:t>检测质量不合格的标本重新提取DNA再次检测，再次检测后仍不符合数据分析或结果判断质量要求的标本，与产前诊断机构充分沟通后确定后续处理；</w:t>
            </w:r>
            <w:r>
              <w:rPr>
                <w:rFonts w:hint="eastAsia" w:ascii="宋体" w:hAnsi="宋体" w:cs="宋体"/>
                <w:color w:val="000000"/>
                <w:kern w:val="0"/>
                <w:szCs w:val="21"/>
              </w:rPr>
              <w:t>④</w:t>
            </w:r>
            <w:r>
              <w:rPr>
                <w:rFonts w:hint="eastAsia" w:ascii="宋体" w:hAnsi="宋体"/>
                <w:bCs/>
                <w:szCs w:val="21"/>
              </w:rPr>
              <w:t>按照检测方法相关说明书要求建立有关数据质量参考标准。</w:t>
            </w:r>
          </w:p>
          <w:p>
            <w:pPr>
              <w:widowControl/>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40" w:type="pct"/>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941" w:type="pct"/>
            <w:noWrap/>
            <w:vAlign w:val="center"/>
          </w:tcPr>
          <w:p>
            <w:pPr>
              <w:pStyle w:val="18"/>
              <w:jc w:val="center"/>
              <w:rPr>
                <w:rFonts w:ascii="Times New Roman" w:hAnsi="Times New Roman" w:cs="Times New Roman" w:eastAsiaTheme="minorEastAsia"/>
                <w:bCs/>
                <w:sz w:val="22"/>
              </w:rPr>
            </w:pPr>
            <w:r>
              <w:rPr>
                <w:rFonts w:ascii="Times New Roman" w:hAnsi="Times New Roman" w:cs="Times New Roman" w:eastAsiaTheme="minorEastAsia"/>
                <w:bCs/>
                <w:sz w:val="22"/>
              </w:rPr>
              <w:t>NIPT plus</w:t>
            </w:r>
          </w:p>
        </w:tc>
        <w:tc>
          <w:tcPr>
            <w:tcW w:w="1395" w:type="pct"/>
            <w:noWrap/>
            <w:vAlign w:val="center"/>
          </w:tcPr>
          <w:p>
            <w:pPr>
              <w:widowControl/>
              <w:jc w:val="center"/>
              <w:rPr>
                <w:rFonts w:ascii="宋体" w:hAnsi="宋体" w:cs="宋体"/>
                <w:b/>
                <w:bCs/>
                <w:color w:val="000000"/>
                <w:kern w:val="0"/>
                <w:szCs w:val="21"/>
              </w:rPr>
            </w:pPr>
            <w:r>
              <w:rPr>
                <w:rFonts w:hint="eastAsia" w:ascii="宋体" w:hAnsi="宋体" w:cs="宋体"/>
                <w:bCs/>
                <w:szCs w:val="21"/>
              </w:rPr>
              <w:t>检测21.18.13号染色体非整倍体、15种常见染色体CNV疾病检测及4种性染色体非整倍体，共22种染色体疾病</w:t>
            </w:r>
          </w:p>
        </w:tc>
        <w:tc>
          <w:tcPr>
            <w:tcW w:w="2323" w:type="pct"/>
            <w:vMerge w:val="continue"/>
            <w:noWrap/>
            <w:vAlign w:val="center"/>
          </w:tcPr>
          <w:p>
            <w:pPr>
              <w:widowControl/>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40" w:type="pct"/>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941" w:type="pct"/>
            <w:noWrap/>
            <w:vAlign w:val="center"/>
          </w:tcPr>
          <w:p>
            <w:pPr>
              <w:pStyle w:val="18"/>
              <w:jc w:val="center"/>
              <w:rPr>
                <w:rFonts w:ascii="Times New Roman" w:hAnsi="Times New Roman" w:cs="Times New Roman" w:eastAsiaTheme="minorEastAsia"/>
                <w:bCs/>
                <w:sz w:val="22"/>
              </w:rPr>
            </w:pPr>
            <w:r>
              <w:rPr>
                <w:rFonts w:hint="eastAsia" w:ascii="Times New Roman" w:hAnsi="Times New Roman" w:cs="Times New Roman" w:eastAsiaTheme="minorEastAsia"/>
                <w:bCs/>
                <w:sz w:val="22"/>
              </w:rPr>
              <w:t>NIPT Plus2.0</w:t>
            </w:r>
          </w:p>
        </w:tc>
        <w:tc>
          <w:tcPr>
            <w:tcW w:w="1395" w:type="pct"/>
            <w:noWrap/>
            <w:vAlign w:val="center"/>
          </w:tcPr>
          <w:p>
            <w:pPr>
              <w:widowControl/>
              <w:jc w:val="center"/>
              <w:rPr>
                <w:rFonts w:ascii="宋体" w:hAnsi="宋体" w:cs="宋体"/>
                <w:b/>
                <w:bCs/>
                <w:color w:val="000000"/>
                <w:kern w:val="0"/>
                <w:szCs w:val="21"/>
              </w:rPr>
            </w:pPr>
            <w:r>
              <w:rPr>
                <w:rFonts w:hint="eastAsia" w:ascii="宋体" w:hAnsi="宋体" w:cs="宋体"/>
                <w:bCs/>
                <w:szCs w:val="21"/>
              </w:rPr>
              <w:t>21.18.13号染色体非整倍体+4种性染色体+116种染色体微缺失微重复</w:t>
            </w:r>
          </w:p>
        </w:tc>
        <w:tc>
          <w:tcPr>
            <w:tcW w:w="2323" w:type="pct"/>
            <w:vMerge w:val="continue"/>
            <w:noWrap/>
            <w:vAlign w:val="center"/>
          </w:tcPr>
          <w:p>
            <w:pPr>
              <w:widowControl/>
              <w:jc w:val="center"/>
              <w:rPr>
                <w:rFonts w:ascii="宋体" w:hAnsi="宋体"/>
                <w:b/>
                <w:bCs/>
                <w:color w:val="000000"/>
                <w:kern w:val="0"/>
                <w:szCs w:val="21"/>
              </w:rPr>
            </w:pPr>
          </w:p>
        </w:tc>
      </w:tr>
    </w:tbl>
    <w:p>
      <w:pPr>
        <w:widowControl/>
        <w:jc w:val="left"/>
        <w:rPr>
          <w:rFonts w:ascii="宋体" w:hAnsi="宋体" w:cs="宋体"/>
          <w:color w:val="000000" w:themeColor="text1"/>
          <w:kern w:val="0"/>
          <w:sz w:val="28"/>
          <w:szCs w:val="28"/>
          <w14:textFill>
            <w14:solidFill>
              <w14:schemeClr w14:val="tx1"/>
            </w14:solidFill>
          </w14:textFill>
        </w:rPr>
      </w:pPr>
    </w:p>
    <w:p>
      <w:pPr>
        <w:widowControl/>
        <w:numPr>
          <w:ilvl w:val="0"/>
          <w:numId w:val="3"/>
        </w:numPr>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检测准确性、误差率等</w:t>
      </w:r>
    </w:p>
    <w:p>
      <w:pPr>
        <w:widowControl/>
        <w:spacing w:afterLines="100"/>
        <w:jc w:val="left"/>
        <w:rPr>
          <w:rFonts w:eastAsiaTheme="minorEastAsia"/>
          <w:bCs/>
          <w:szCs w:val="21"/>
        </w:rPr>
      </w:pPr>
      <w:r>
        <w:rPr>
          <w:rFonts w:hint="eastAsia" w:eastAsiaTheme="minorEastAsia"/>
          <w:bCs/>
          <w:szCs w:val="21"/>
        </w:rPr>
        <w:t>各检测项目的准确率如下表所示：</w:t>
      </w:r>
    </w:p>
    <w:tbl>
      <w:tblPr>
        <w:tblStyle w:val="22"/>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873"/>
        <w:gridCol w:w="1228"/>
        <w:gridCol w:w="1554"/>
        <w:gridCol w:w="1659"/>
        <w:gridCol w:w="185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widowControl/>
              <w:spacing w:afterLines="100"/>
              <w:jc w:val="left"/>
              <w:rPr>
                <w:rFonts w:eastAsiaTheme="minorEastAsia"/>
                <w:bCs/>
                <w:sz w:val="22"/>
              </w:rPr>
            </w:pPr>
            <w:r>
              <w:rPr>
                <w:rFonts w:eastAsiaTheme="minorEastAsia"/>
                <w:bCs/>
                <w:sz w:val="22"/>
              </w:rPr>
              <w:t>检测手段</w:t>
            </w:r>
          </w:p>
        </w:tc>
        <w:tc>
          <w:tcPr>
            <w:tcW w:w="873" w:type="dxa"/>
            <w:vAlign w:val="center"/>
          </w:tcPr>
          <w:p>
            <w:pPr>
              <w:widowControl/>
              <w:spacing w:afterLines="100"/>
              <w:jc w:val="left"/>
              <w:rPr>
                <w:rFonts w:eastAsiaTheme="minorEastAsia"/>
                <w:bCs/>
                <w:sz w:val="22"/>
              </w:rPr>
            </w:pPr>
            <w:r>
              <w:rPr>
                <w:rFonts w:ascii="Times New Roman" w:hAnsi="Times New Roman" w:eastAsiaTheme="minorEastAsia"/>
                <w:bCs/>
                <w:sz w:val="22"/>
              </w:rPr>
              <w:t>NIPT</w:t>
            </w:r>
          </w:p>
        </w:tc>
        <w:tc>
          <w:tcPr>
            <w:tcW w:w="1228" w:type="dxa"/>
            <w:vAlign w:val="center"/>
          </w:tcPr>
          <w:p>
            <w:pPr>
              <w:widowControl/>
              <w:spacing w:afterLines="100"/>
              <w:jc w:val="left"/>
              <w:rPr>
                <w:rFonts w:eastAsiaTheme="minorEastAsia"/>
                <w:bCs/>
                <w:sz w:val="22"/>
              </w:rPr>
            </w:pPr>
            <w:r>
              <w:rPr>
                <w:rFonts w:ascii="Times New Roman" w:hAnsi="Times New Roman" w:eastAsiaTheme="minorEastAsia"/>
                <w:bCs/>
                <w:sz w:val="22"/>
              </w:rPr>
              <w:t>NIPT plus</w:t>
            </w:r>
          </w:p>
        </w:tc>
        <w:tc>
          <w:tcPr>
            <w:tcW w:w="1554" w:type="dxa"/>
            <w:vAlign w:val="center"/>
          </w:tcPr>
          <w:p>
            <w:pPr>
              <w:widowControl/>
              <w:spacing w:afterLines="100"/>
              <w:jc w:val="left"/>
              <w:rPr>
                <w:rFonts w:eastAsiaTheme="minorEastAsia"/>
                <w:bCs/>
                <w:sz w:val="22"/>
              </w:rPr>
            </w:pPr>
            <w:r>
              <w:rPr>
                <w:rFonts w:hint="eastAsia" w:ascii="Times New Roman" w:hAnsi="Times New Roman" w:eastAsiaTheme="minorEastAsia"/>
                <w:bCs/>
                <w:sz w:val="22"/>
              </w:rPr>
              <w:t>NIPT Plus2.0</w:t>
            </w:r>
          </w:p>
        </w:tc>
        <w:tc>
          <w:tcPr>
            <w:tcW w:w="1659" w:type="dxa"/>
            <w:vAlign w:val="center"/>
          </w:tcPr>
          <w:p>
            <w:pPr>
              <w:widowControl/>
              <w:spacing w:afterLines="100"/>
              <w:jc w:val="left"/>
              <w:rPr>
                <w:rFonts w:eastAsiaTheme="minorEastAsia"/>
                <w:bCs/>
                <w:sz w:val="22"/>
              </w:rPr>
            </w:pPr>
            <w:r>
              <w:rPr>
                <w:rFonts w:hint="eastAsia" w:ascii="Times New Roman" w:hAnsi="Times New Roman" w:eastAsiaTheme="minorEastAsia"/>
                <w:bCs/>
                <w:sz w:val="22"/>
              </w:rPr>
              <w:t>产前CNV-seq（含STR）</w:t>
            </w:r>
          </w:p>
        </w:tc>
        <w:tc>
          <w:tcPr>
            <w:tcW w:w="1854" w:type="dxa"/>
            <w:vAlign w:val="center"/>
          </w:tcPr>
          <w:p>
            <w:pPr>
              <w:widowControl/>
              <w:spacing w:afterLines="100"/>
              <w:jc w:val="left"/>
              <w:rPr>
                <w:rFonts w:eastAsiaTheme="minorEastAsia"/>
                <w:bCs/>
                <w:sz w:val="22"/>
              </w:rPr>
            </w:pPr>
            <w:r>
              <w:rPr>
                <w:rFonts w:hint="eastAsia" w:ascii="宋体" w:hAnsi="宋体" w:cs="宋体"/>
                <w:color w:val="000000"/>
                <w:sz w:val="20"/>
                <w:szCs w:val="20"/>
              </w:rPr>
              <w:t>全外显子测序分析/IDT-10G（单样本）</w:t>
            </w:r>
          </w:p>
        </w:tc>
        <w:tc>
          <w:tcPr>
            <w:tcW w:w="1992" w:type="dxa"/>
            <w:vAlign w:val="center"/>
          </w:tcPr>
          <w:p>
            <w:pPr>
              <w:widowControl/>
              <w:spacing w:afterLines="100"/>
              <w:jc w:val="left"/>
              <w:rPr>
                <w:rFonts w:ascii="Times New Roman" w:hAnsi="Times New Roman" w:eastAsiaTheme="minorEastAsia"/>
                <w:bCs/>
                <w:sz w:val="22"/>
              </w:rPr>
            </w:pPr>
            <w:r>
              <w:rPr>
                <w:rFonts w:hint="eastAsia" w:ascii="宋体" w:hAnsi="宋体" w:cs="宋体"/>
                <w:color w:val="000000"/>
                <w:sz w:val="20"/>
                <w:szCs w:val="20"/>
              </w:rPr>
              <w:t>全外显子测序分析/IDT-10G（家系）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widowControl/>
              <w:spacing w:afterLines="100"/>
              <w:jc w:val="left"/>
              <w:rPr>
                <w:rFonts w:eastAsiaTheme="minorEastAsia"/>
                <w:bCs/>
                <w:sz w:val="22"/>
              </w:rPr>
            </w:pPr>
            <w:r>
              <w:rPr>
                <w:rFonts w:eastAsiaTheme="minorEastAsia"/>
                <w:bCs/>
                <w:sz w:val="22"/>
              </w:rPr>
              <w:t>准确率</w:t>
            </w:r>
          </w:p>
        </w:tc>
        <w:tc>
          <w:tcPr>
            <w:tcW w:w="873" w:type="dxa"/>
            <w:vAlign w:val="center"/>
          </w:tcPr>
          <w:p>
            <w:pPr>
              <w:widowControl/>
              <w:spacing w:afterLines="100"/>
              <w:jc w:val="left"/>
              <w:rPr>
                <w:rFonts w:eastAsiaTheme="minorEastAsia"/>
                <w:bCs/>
                <w:sz w:val="22"/>
              </w:rPr>
            </w:pPr>
            <w:r>
              <w:rPr>
                <w:rFonts w:ascii="Times New Roman" w:hAnsi="Times New Roman" w:eastAsiaTheme="minorEastAsia"/>
                <w:bCs/>
                <w:sz w:val="22"/>
              </w:rPr>
              <w:t>99%</w:t>
            </w:r>
          </w:p>
        </w:tc>
        <w:tc>
          <w:tcPr>
            <w:tcW w:w="1228" w:type="dxa"/>
            <w:vAlign w:val="center"/>
          </w:tcPr>
          <w:p>
            <w:pPr>
              <w:widowControl/>
              <w:spacing w:afterLines="100"/>
              <w:jc w:val="left"/>
              <w:rPr>
                <w:rFonts w:eastAsiaTheme="minorEastAsia"/>
                <w:bCs/>
                <w:sz w:val="22"/>
              </w:rPr>
            </w:pPr>
            <w:r>
              <w:rPr>
                <w:rFonts w:ascii="Times New Roman" w:hAnsi="Times New Roman" w:eastAsiaTheme="minorEastAsia"/>
                <w:bCs/>
                <w:sz w:val="22"/>
              </w:rPr>
              <w:t>99%</w:t>
            </w:r>
          </w:p>
        </w:tc>
        <w:tc>
          <w:tcPr>
            <w:tcW w:w="1554" w:type="dxa"/>
            <w:vAlign w:val="center"/>
          </w:tcPr>
          <w:p>
            <w:pPr>
              <w:pStyle w:val="18"/>
              <w:spacing w:before="0" w:beforeAutospacing="0" w:after="0" w:afterAutospacing="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22种99%</w:t>
            </w:r>
          </w:p>
          <w:p>
            <w:pPr>
              <w:widowControl/>
              <w:jc w:val="left"/>
              <w:rPr>
                <w:rFonts w:eastAsiaTheme="minorEastAsia"/>
                <w:bCs/>
                <w:sz w:val="22"/>
              </w:rPr>
            </w:pPr>
            <w:r>
              <w:rPr>
                <w:rFonts w:hint="eastAsia" w:ascii="宋体" w:hAnsi="宋体" w:cs="宋体"/>
                <w:color w:val="000000" w:themeColor="text1"/>
                <w:kern w:val="0"/>
                <w:szCs w:val="21"/>
                <w14:textFill>
                  <w14:solidFill>
                    <w14:schemeClr w14:val="tx1"/>
                  </w14:solidFill>
                </w14:textFill>
              </w:rPr>
              <w:t>116种在80%左右</w:t>
            </w:r>
          </w:p>
        </w:tc>
        <w:tc>
          <w:tcPr>
            <w:tcW w:w="1659" w:type="dxa"/>
            <w:vAlign w:val="center"/>
          </w:tcPr>
          <w:p>
            <w:pPr>
              <w:widowControl/>
              <w:jc w:val="left"/>
              <w:rPr>
                <w:rFonts w:eastAsiaTheme="minorEastAsia"/>
                <w:bCs/>
                <w:sz w:val="22"/>
              </w:rPr>
            </w:pPr>
            <w:r>
              <w:rPr>
                <w:rFonts w:hint="eastAsia" w:ascii="宋体" w:hAnsi="宋体" w:cs="宋体"/>
                <w:color w:val="000000" w:themeColor="text1"/>
                <w:kern w:val="0"/>
                <w:szCs w:val="21"/>
                <w14:textFill>
                  <w14:solidFill>
                    <w14:schemeClr w14:val="tx1"/>
                  </w14:solidFill>
                </w14:textFill>
              </w:rPr>
              <w:t xml:space="preserve">STR全部检测：异倍体发病率0.03%；STR部分检测：UPD发病率0.028% </w:t>
            </w:r>
          </w:p>
        </w:tc>
        <w:tc>
          <w:tcPr>
            <w:tcW w:w="1854" w:type="dxa"/>
            <w:vAlign w:val="center"/>
          </w:tcPr>
          <w:p>
            <w:pPr>
              <w:widowControl/>
              <w:spacing w:afterLines="100"/>
              <w:jc w:val="left"/>
              <w:rPr>
                <w:bCs/>
                <w:sz w:val="22"/>
              </w:rPr>
            </w:pPr>
            <w:r>
              <w:rPr>
                <w:rFonts w:hint="eastAsia"/>
                <w:bCs/>
                <w:sz w:val="22"/>
              </w:rPr>
              <w:t>阳性位点会通过一代测序验证</w:t>
            </w:r>
          </w:p>
        </w:tc>
        <w:tc>
          <w:tcPr>
            <w:tcW w:w="1992" w:type="dxa"/>
            <w:vAlign w:val="center"/>
          </w:tcPr>
          <w:p>
            <w:pPr>
              <w:widowControl/>
              <w:spacing w:afterLines="100"/>
              <w:jc w:val="left"/>
              <w:rPr>
                <w:rFonts w:eastAsiaTheme="minorEastAsia"/>
                <w:bCs/>
                <w:sz w:val="22"/>
              </w:rPr>
            </w:pPr>
            <w:r>
              <w:rPr>
                <w:rFonts w:hint="eastAsia"/>
                <w:bCs/>
                <w:sz w:val="22"/>
              </w:rPr>
              <w:t>阳性位点会通过一代测序验证</w:t>
            </w:r>
          </w:p>
        </w:tc>
      </w:tr>
    </w:tbl>
    <w:p>
      <w:pPr>
        <w:widowControl/>
        <w:spacing w:afterLines="100"/>
        <w:jc w:val="left"/>
        <w:rPr>
          <w:rFonts w:eastAsiaTheme="minorEastAsia"/>
          <w:bCs/>
          <w:sz w:val="22"/>
        </w:rPr>
      </w:pPr>
    </w:p>
    <w:p>
      <w:pPr>
        <w:pStyle w:val="2"/>
        <w:numPr>
          <w:ilvl w:val="0"/>
          <w:numId w:val="2"/>
        </w:numPr>
        <w:spacing w:line="360" w:lineRule="auto"/>
        <w:rPr>
          <w:rFonts w:ascii="宋体" w:hAnsi="宋体" w:cs="宋体"/>
          <w:sz w:val="28"/>
          <w:szCs w:val="28"/>
        </w:rPr>
      </w:pPr>
      <w:r>
        <w:rPr>
          <w:rFonts w:hint="eastAsia" w:ascii="宋体" w:hAnsi="宋体" w:cs="宋体"/>
          <w:sz w:val="28"/>
          <w:szCs w:val="28"/>
        </w:rPr>
        <w:t>服务要求</w:t>
      </w:r>
    </w:p>
    <w:p>
      <w:pPr>
        <w:numPr>
          <w:ilvl w:val="0"/>
          <w:numId w:val="4"/>
        </w:numPr>
        <w:rPr>
          <w:sz w:val="28"/>
          <w:szCs w:val="28"/>
        </w:rPr>
      </w:pPr>
      <w:r>
        <w:rPr>
          <w:rFonts w:hint="eastAsia"/>
          <w:sz w:val="28"/>
          <w:szCs w:val="28"/>
        </w:rPr>
        <w:t>标本接收时间安排在每一周至周五下午。</w:t>
      </w:r>
    </w:p>
    <w:p>
      <w:pPr>
        <w:numPr>
          <w:ilvl w:val="0"/>
          <w:numId w:val="4"/>
        </w:numPr>
        <w:rPr>
          <w:sz w:val="28"/>
          <w:szCs w:val="28"/>
        </w:rPr>
      </w:pPr>
      <w:r>
        <w:rPr>
          <w:rFonts w:hint="eastAsia"/>
          <w:sz w:val="28"/>
          <w:szCs w:val="28"/>
        </w:rPr>
        <w:t>检验结果出具的时间、方式</w:t>
      </w:r>
    </w:p>
    <w:p>
      <w:pPr>
        <w:spacing w:line="360" w:lineRule="auto"/>
        <w:ind w:firstLine="482"/>
        <w:rPr>
          <w:rFonts w:eastAsiaTheme="minorEastAsia"/>
          <w:sz w:val="24"/>
          <w:szCs w:val="24"/>
        </w:rPr>
      </w:pPr>
      <w:r>
        <w:rPr>
          <w:rFonts w:eastAsiaTheme="minorEastAsia"/>
          <w:bCs/>
          <w:sz w:val="24"/>
          <w:szCs w:val="24"/>
        </w:rPr>
        <w:t>1）对不合格样本</w:t>
      </w:r>
      <w:r>
        <w:rPr>
          <w:rFonts w:eastAsiaTheme="minorEastAsia"/>
          <w:sz w:val="24"/>
          <w:szCs w:val="24"/>
        </w:rPr>
        <w:t>，需收到时立刻通知当地负责人；</w:t>
      </w:r>
    </w:p>
    <w:p>
      <w:pPr>
        <w:spacing w:line="360" w:lineRule="auto"/>
        <w:ind w:firstLine="482"/>
        <w:rPr>
          <w:sz w:val="24"/>
          <w:szCs w:val="24"/>
        </w:rPr>
      </w:pPr>
      <w:r>
        <w:rPr>
          <w:rFonts w:eastAsiaTheme="minorEastAsia"/>
          <w:sz w:val="24"/>
          <w:szCs w:val="24"/>
        </w:rPr>
        <w:t>2）</w:t>
      </w:r>
      <w:r>
        <w:rPr>
          <w:rFonts w:eastAsiaTheme="minorEastAsia"/>
          <w:bCs/>
          <w:sz w:val="24"/>
          <w:szCs w:val="24"/>
        </w:rPr>
        <w:t>报告周期：</w:t>
      </w:r>
      <w:r>
        <w:rPr>
          <w:rFonts w:hint="eastAsia" w:eastAsiaTheme="minorEastAsia"/>
          <w:sz w:val="24"/>
          <w:szCs w:val="24"/>
        </w:rPr>
        <w:t>NIPT、NIPT PLUS、NIPT Plus 2.0 报告周期为</w:t>
      </w:r>
      <w:r>
        <w:rPr>
          <w:rFonts w:eastAsiaTheme="minorEastAsia"/>
          <w:sz w:val="24"/>
          <w:szCs w:val="24"/>
        </w:rPr>
        <w:t>7个</w:t>
      </w:r>
      <w:r>
        <w:rPr>
          <w:rFonts w:hint="eastAsia" w:eastAsiaTheme="minorEastAsia"/>
          <w:sz w:val="24"/>
          <w:szCs w:val="24"/>
        </w:rPr>
        <w:t>自然日；产前CNV-seq（含STR）报告周期为7个工作日，</w:t>
      </w:r>
      <w:r>
        <w:rPr>
          <w:rFonts w:eastAsiaTheme="minorEastAsia"/>
          <w:sz w:val="24"/>
          <w:szCs w:val="24"/>
        </w:rPr>
        <w:t>国家节假日顺延</w:t>
      </w:r>
      <w:r>
        <w:rPr>
          <w:rFonts w:hint="eastAsia" w:eastAsiaTheme="minorEastAsia"/>
          <w:sz w:val="24"/>
          <w:szCs w:val="24"/>
        </w:rPr>
        <w:t>；全外显子测序分析报告周期为16个工作日，</w:t>
      </w:r>
      <w:r>
        <w:rPr>
          <w:rFonts w:eastAsiaTheme="minorEastAsia"/>
          <w:sz w:val="24"/>
          <w:szCs w:val="24"/>
        </w:rPr>
        <w:t>国家节假日顺延。</w:t>
      </w:r>
    </w:p>
    <w:p>
      <w:pPr>
        <w:numPr>
          <w:ilvl w:val="0"/>
          <w:numId w:val="4"/>
        </w:numPr>
        <w:rPr>
          <w:sz w:val="28"/>
          <w:szCs w:val="28"/>
        </w:rPr>
      </w:pPr>
      <w:r>
        <w:rPr>
          <w:rFonts w:hint="eastAsia"/>
          <w:sz w:val="28"/>
          <w:szCs w:val="28"/>
        </w:rPr>
        <w:t>检验报告领取方式</w:t>
      </w:r>
    </w:p>
    <w:p>
      <w:pPr>
        <w:spacing w:line="360" w:lineRule="auto"/>
        <w:ind w:firstLine="480" w:firstLineChars="200"/>
        <w:rPr>
          <w:sz w:val="24"/>
          <w:szCs w:val="24"/>
        </w:rPr>
      </w:pPr>
      <w:r>
        <w:rPr>
          <w:rFonts w:hint="eastAsia" w:asciiTheme="minorEastAsia" w:hAnsiTheme="minorEastAsia" w:eastAsiaTheme="minorEastAsia"/>
          <w:sz w:val="24"/>
          <w:szCs w:val="24"/>
        </w:rPr>
        <w:t>报告一经签发，即可从网上下载电子报告，第一时间进行报告单打印，为患者的及时检测诊断提供大力支持，并有效缩减报告发放时间。</w:t>
      </w:r>
    </w:p>
    <w:p>
      <w:pPr>
        <w:numPr>
          <w:ilvl w:val="0"/>
          <w:numId w:val="4"/>
        </w:numPr>
        <w:rPr>
          <w:sz w:val="28"/>
          <w:szCs w:val="28"/>
        </w:rPr>
      </w:pPr>
      <w:r>
        <w:rPr>
          <w:rFonts w:hint="eastAsia"/>
          <w:sz w:val="28"/>
          <w:szCs w:val="28"/>
        </w:rPr>
        <w:t>人员培训、学习</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每年安排专家到妇产科进行业务培训</w:t>
      </w:r>
      <w:r>
        <w:rPr>
          <w:rFonts w:hint="eastAsia" w:asciiTheme="minorEastAsia" w:hAnsiTheme="minorEastAsia" w:eastAsiaTheme="minorEastAsia"/>
          <w:sz w:val="24"/>
          <w:szCs w:val="24"/>
          <w:lang w:eastAsia="zh-CN"/>
        </w:rPr>
        <w:t>。</w:t>
      </w:r>
    </w:p>
    <w:p>
      <w:pPr>
        <w:pStyle w:val="35"/>
        <w:snapToGrid w:val="0"/>
        <w:spacing w:before="240" w:after="100" w:afterAutospacing="1" w:line="276" w:lineRule="auto"/>
        <w:ind w:firstLine="0" w:firstLineChars="0"/>
        <w:jc w:val="left"/>
        <w:rPr>
          <w:rFonts w:hint="eastAsia" w:ascii="宋体" w:hAnsi="宋体" w:cs="宋体"/>
          <w:sz w:val="28"/>
          <w:szCs w:val="28"/>
        </w:rPr>
      </w:pPr>
    </w:p>
    <w:p>
      <w:pPr>
        <w:pStyle w:val="35"/>
        <w:snapToGrid w:val="0"/>
        <w:spacing w:before="240" w:after="100" w:afterAutospacing="1" w:line="276" w:lineRule="auto"/>
        <w:ind w:firstLine="0" w:firstLineChars="0"/>
        <w:jc w:val="left"/>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A52F2"/>
    <w:multiLevelType w:val="singleLevel"/>
    <w:tmpl w:val="00EA52F2"/>
    <w:lvl w:ilvl="0" w:tentative="0">
      <w:start w:val="1"/>
      <w:numFmt w:val="decimal"/>
      <w:suff w:val="nothing"/>
      <w:lvlText w:val="%1、"/>
      <w:lvlJc w:val="left"/>
    </w:lvl>
  </w:abstractNum>
  <w:abstractNum w:abstractNumId="1">
    <w:nsid w:val="5D132B28"/>
    <w:multiLevelType w:val="singleLevel"/>
    <w:tmpl w:val="5D132B28"/>
    <w:lvl w:ilvl="0" w:tentative="0">
      <w:start w:val="2"/>
      <w:numFmt w:val="chineseCounting"/>
      <w:suff w:val="nothing"/>
      <w:lvlText w:val="%1、"/>
      <w:lvlJc w:val="left"/>
    </w:lvl>
  </w:abstractNum>
  <w:abstractNum w:abstractNumId="2">
    <w:nsid w:val="5D4D2C0B"/>
    <w:multiLevelType w:val="singleLevel"/>
    <w:tmpl w:val="5D4D2C0B"/>
    <w:lvl w:ilvl="0" w:tentative="0">
      <w:start w:val="1"/>
      <w:numFmt w:val="chineseCounting"/>
      <w:suff w:val="nothing"/>
      <w:lvlText w:val="%1、"/>
      <w:lvlJc w:val="left"/>
    </w:lvl>
  </w:abstractNum>
  <w:abstractNum w:abstractNumId="3">
    <w:nsid w:val="742523AF"/>
    <w:multiLevelType w:val="singleLevel"/>
    <w:tmpl w:val="742523AF"/>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72"/>
    <w:rsid w:val="000270CF"/>
    <w:rsid w:val="00031FFC"/>
    <w:rsid w:val="00036D21"/>
    <w:rsid w:val="00040D5A"/>
    <w:rsid w:val="000524B8"/>
    <w:rsid w:val="00057FAA"/>
    <w:rsid w:val="00080506"/>
    <w:rsid w:val="00093AC9"/>
    <w:rsid w:val="00097194"/>
    <w:rsid w:val="000B5DBD"/>
    <w:rsid w:val="000B7A83"/>
    <w:rsid w:val="000C6A7E"/>
    <w:rsid w:val="000D6FAF"/>
    <w:rsid w:val="000E198D"/>
    <w:rsid w:val="000F125A"/>
    <w:rsid w:val="000F1B8A"/>
    <w:rsid w:val="00105E57"/>
    <w:rsid w:val="00145F20"/>
    <w:rsid w:val="00167EEE"/>
    <w:rsid w:val="00172FAC"/>
    <w:rsid w:val="001914C9"/>
    <w:rsid w:val="001A3F3C"/>
    <w:rsid w:val="001B5D2A"/>
    <w:rsid w:val="001B6F7E"/>
    <w:rsid w:val="001D3F30"/>
    <w:rsid w:val="001E1952"/>
    <w:rsid w:val="001F05FB"/>
    <w:rsid w:val="0020106D"/>
    <w:rsid w:val="002111B1"/>
    <w:rsid w:val="00214CB5"/>
    <w:rsid w:val="002212B8"/>
    <w:rsid w:val="00224EC5"/>
    <w:rsid w:val="002258DF"/>
    <w:rsid w:val="002419D5"/>
    <w:rsid w:val="00251DD3"/>
    <w:rsid w:val="00253DE4"/>
    <w:rsid w:val="00282A75"/>
    <w:rsid w:val="002A0428"/>
    <w:rsid w:val="002A7FBF"/>
    <w:rsid w:val="002D169A"/>
    <w:rsid w:val="002D609B"/>
    <w:rsid w:val="002F308B"/>
    <w:rsid w:val="002F66C6"/>
    <w:rsid w:val="003042ED"/>
    <w:rsid w:val="00312CD8"/>
    <w:rsid w:val="003379EB"/>
    <w:rsid w:val="00340791"/>
    <w:rsid w:val="00343A0A"/>
    <w:rsid w:val="00356472"/>
    <w:rsid w:val="00356B6A"/>
    <w:rsid w:val="00360C8F"/>
    <w:rsid w:val="0036483D"/>
    <w:rsid w:val="0037164D"/>
    <w:rsid w:val="0037735A"/>
    <w:rsid w:val="003A1D43"/>
    <w:rsid w:val="003A6CBC"/>
    <w:rsid w:val="00405739"/>
    <w:rsid w:val="004131E7"/>
    <w:rsid w:val="00445506"/>
    <w:rsid w:val="004510EA"/>
    <w:rsid w:val="004548DC"/>
    <w:rsid w:val="004621D5"/>
    <w:rsid w:val="00465115"/>
    <w:rsid w:val="00472BCD"/>
    <w:rsid w:val="00473403"/>
    <w:rsid w:val="004E2169"/>
    <w:rsid w:val="00556D26"/>
    <w:rsid w:val="005652A4"/>
    <w:rsid w:val="00576FE9"/>
    <w:rsid w:val="00585013"/>
    <w:rsid w:val="005A0E64"/>
    <w:rsid w:val="005B30E1"/>
    <w:rsid w:val="005F24E0"/>
    <w:rsid w:val="00621119"/>
    <w:rsid w:val="006323EC"/>
    <w:rsid w:val="00641040"/>
    <w:rsid w:val="00647FBE"/>
    <w:rsid w:val="0065469C"/>
    <w:rsid w:val="0069102F"/>
    <w:rsid w:val="006C2F7A"/>
    <w:rsid w:val="006D6500"/>
    <w:rsid w:val="006D6616"/>
    <w:rsid w:val="006E0082"/>
    <w:rsid w:val="006E3332"/>
    <w:rsid w:val="006F139B"/>
    <w:rsid w:val="006F4CD1"/>
    <w:rsid w:val="006F5FA7"/>
    <w:rsid w:val="006F68C6"/>
    <w:rsid w:val="007150FA"/>
    <w:rsid w:val="00717F7D"/>
    <w:rsid w:val="00726506"/>
    <w:rsid w:val="00743D57"/>
    <w:rsid w:val="00750869"/>
    <w:rsid w:val="007643EF"/>
    <w:rsid w:val="007833D4"/>
    <w:rsid w:val="007C4FB9"/>
    <w:rsid w:val="007C5B54"/>
    <w:rsid w:val="007E18C8"/>
    <w:rsid w:val="008249F8"/>
    <w:rsid w:val="00827867"/>
    <w:rsid w:val="00832DCB"/>
    <w:rsid w:val="008705FE"/>
    <w:rsid w:val="0087130F"/>
    <w:rsid w:val="0087634A"/>
    <w:rsid w:val="008C3596"/>
    <w:rsid w:val="008D1DFB"/>
    <w:rsid w:val="008F3E4D"/>
    <w:rsid w:val="00903360"/>
    <w:rsid w:val="00917161"/>
    <w:rsid w:val="00931D7F"/>
    <w:rsid w:val="009465F4"/>
    <w:rsid w:val="00967872"/>
    <w:rsid w:val="00971B5B"/>
    <w:rsid w:val="0098076F"/>
    <w:rsid w:val="00997691"/>
    <w:rsid w:val="009B7959"/>
    <w:rsid w:val="009C7A90"/>
    <w:rsid w:val="009E2DA6"/>
    <w:rsid w:val="009F15F5"/>
    <w:rsid w:val="00A036E6"/>
    <w:rsid w:val="00A11049"/>
    <w:rsid w:val="00A1533B"/>
    <w:rsid w:val="00A31C1F"/>
    <w:rsid w:val="00A50D25"/>
    <w:rsid w:val="00A51FD5"/>
    <w:rsid w:val="00A547A9"/>
    <w:rsid w:val="00A6098F"/>
    <w:rsid w:val="00A61CC6"/>
    <w:rsid w:val="00A61E8C"/>
    <w:rsid w:val="00A668F1"/>
    <w:rsid w:val="00A7070D"/>
    <w:rsid w:val="00A94E1D"/>
    <w:rsid w:val="00AD01C9"/>
    <w:rsid w:val="00AE73B0"/>
    <w:rsid w:val="00AF2121"/>
    <w:rsid w:val="00B17FAE"/>
    <w:rsid w:val="00B35AE6"/>
    <w:rsid w:val="00B47B7E"/>
    <w:rsid w:val="00B47BED"/>
    <w:rsid w:val="00B70D7C"/>
    <w:rsid w:val="00B73C81"/>
    <w:rsid w:val="00B84AEF"/>
    <w:rsid w:val="00B85F94"/>
    <w:rsid w:val="00B970E0"/>
    <w:rsid w:val="00BA0E2B"/>
    <w:rsid w:val="00BB6217"/>
    <w:rsid w:val="00BC09C7"/>
    <w:rsid w:val="00BD390C"/>
    <w:rsid w:val="00BD4F88"/>
    <w:rsid w:val="00BF5F0A"/>
    <w:rsid w:val="00C15DF9"/>
    <w:rsid w:val="00C5377E"/>
    <w:rsid w:val="00C62987"/>
    <w:rsid w:val="00C644B7"/>
    <w:rsid w:val="00C65184"/>
    <w:rsid w:val="00C71C85"/>
    <w:rsid w:val="00C941F8"/>
    <w:rsid w:val="00CA5EB8"/>
    <w:rsid w:val="00CB7BA9"/>
    <w:rsid w:val="00CC4EFB"/>
    <w:rsid w:val="00CC6B3E"/>
    <w:rsid w:val="00CC7F5B"/>
    <w:rsid w:val="00CD06D9"/>
    <w:rsid w:val="00CE574A"/>
    <w:rsid w:val="00CE780F"/>
    <w:rsid w:val="00CF30A0"/>
    <w:rsid w:val="00CF7095"/>
    <w:rsid w:val="00D05E97"/>
    <w:rsid w:val="00D30BF6"/>
    <w:rsid w:val="00D34952"/>
    <w:rsid w:val="00D3583A"/>
    <w:rsid w:val="00D374DF"/>
    <w:rsid w:val="00D66A4C"/>
    <w:rsid w:val="00D87AAA"/>
    <w:rsid w:val="00DA2559"/>
    <w:rsid w:val="00E02F97"/>
    <w:rsid w:val="00E0699C"/>
    <w:rsid w:val="00E23BB0"/>
    <w:rsid w:val="00E31E50"/>
    <w:rsid w:val="00E41E23"/>
    <w:rsid w:val="00E5715E"/>
    <w:rsid w:val="00EA0BED"/>
    <w:rsid w:val="00EA2A69"/>
    <w:rsid w:val="00EB0BC4"/>
    <w:rsid w:val="00ED4F83"/>
    <w:rsid w:val="00ED50E3"/>
    <w:rsid w:val="00ED73F1"/>
    <w:rsid w:val="00EE5F68"/>
    <w:rsid w:val="00EF0D47"/>
    <w:rsid w:val="00F30CD7"/>
    <w:rsid w:val="00F3266F"/>
    <w:rsid w:val="00F66649"/>
    <w:rsid w:val="00F842C8"/>
    <w:rsid w:val="00F86FDD"/>
    <w:rsid w:val="00F94ADE"/>
    <w:rsid w:val="00FD299C"/>
    <w:rsid w:val="00FE6B06"/>
    <w:rsid w:val="0249122D"/>
    <w:rsid w:val="025631EE"/>
    <w:rsid w:val="047B2EC3"/>
    <w:rsid w:val="086352D4"/>
    <w:rsid w:val="0AA455DF"/>
    <w:rsid w:val="0B2D5D1F"/>
    <w:rsid w:val="0C941175"/>
    <w:rsid w:val="0D79395B"/>
    <w:rsid w:val="0DED3603"/>
    <w:rsid w:val="0E5F56DD"/>
    <w:rsid w:val="124628FB"/>
    <w:rsid w:val="12C036D3"/>
    <w:rsid w:val="13596442"/>
    <w:rsid w:val="135F324A"/>
    <w:rsid w:val="159C7EEA"/>
    <w:rsid w:val="16487ACC"/>
    <w:rsid w:val="169816F2"/>
    <w:rsid w:val="17563815"/>
    <w:rsid w:val="175B72D6"/>
    <w:rsid w:val="191015F6"/>
    <w:rsid w:val="1A9F4CB3"/>
    <w:rsid w:val="1B8961D5"/>
    <w:rsid w:val="1E311777"/>
    <w:rsid w:val="20AB2CDA"/>
    <w:rsid w:val="218661FF"/>
    <w:rsid w:val="22A362E6"/>
    <w:rsid w:val="236E3055"/>
    <w:rsid w:val="23910509"/>
    <w:rsid w:val="245007AC"/>
    <w:rsid w:val="2535219B"/>
    <w:rsid w:val="26075E77"/>
    <w:rsid w:val="26FA6DB0"/>
    <w:rsid w:val="2B7345BB"/>
    <w:rsid w:val="2DB84FD5"/>
    <w:rsid w:val="2DC20909"/>
    <w:rsid w:val="30F1604B"/>
    <w:rsid w:val="315030BC"/>
    <w:rsid w:val="31EC0B93"/>
    <w:rsid w:val="32344ED5"/>
    <w:rsid w:val="32D94626"/>
    <w:rsid w:val="35827625"/>
    <w:rsid w:val="3644755B"/>
    <w:rsid w:val="39E728CF"/>
    <w:rsid w:val="3AE4062E"/>
    <w:rsid w:val="3AFC5D58"/>
    <w:rsid w:val="3D0715A3"/>
    <w:rsid w:val="3D297120"/>
    <w:rsid w:val="3EC0203A"/>
    <w:rsid w:val="41255B8C"/>
    <w:rsid w:val="41C6586E"/>
    <w:rsid w:val="4226045A"/>
    <w:rsid w:val="44D605F4"/>
    <w:rsid w:val="48CE6927"/>
    <w:rsid w:val="4A7D7EDB"/>
    <w:rsid w:val="4AEA7BA5"/>
    <w:rsid w:val="4C571F58"/>
    <w:rsid w:val="4C743FE7"/>
    <w:rsid w:val="4DBA1EEE"/>
    <w:rsid w:val="4F0D4B1B"/>
    <w:rsid w:val="4F443B19"/>
    <w:rsid w:val="511F4BB5"/>
    <w:rsid w:val="531B75E5"/>
    <w:rsid w:val="56BA6EDB"/>
    <w:rsid w:val="57ED250A"/>
    <w:rsid w:val="59141452"/>
    <w:rsid w:val="5B915E78"/>
    <w:rsid w:val="6073110C"/>
    <w:rsid w:val="611C352E"/>
    <w:rsid w:val="614A31D9"/>
    <w:rsid w:val="61532C55"/>
    <w:rsid w:val="62246B74"/>
    <w:rsid w:val="63085638"/>
    <w:rsid w:val="631D7625"/>
    <w:rsid w:val="684A6678"/>
    <w:rsid w:val="6A05230C"/>
    <w:rsid w:val="6BD117A4"/>
    <w:rsid w:val="6E354A25"/>
    <w:rsid w:val="6E9D262F"/>
    <w:rsid w:val="6F437EEB"/>
    <w:rsid w:val="700D6170"/>
    <w:rsid w:val="70792F20"/>
    <w:rsid w:val="70D40F8D"/>
    <w:rsid w:val="72096F17"/>
    <w:rsid w:val="720B7CFF"/>
    <w:rsid w:val="746679F5"/>
    <w:rsid w:val="74781F6E"/>
    <w:rsid w:val="755F676F"/>
    <w:rsid w:val="75A007D8"/>
    <w:rsid w:val="760B509D"/>
    <w:rsid w:val="79391C44"/>
    <w:rsid w:val="7A2A728F"/>
    <w:rsid w:val="7BF42F8F"/>
    <w:rsid w:val="7CDB19A5"/>
    <w:rsid w:val="7EAD31A8"/>
    <w:rsid w:val="7F162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Normal Indent"/>
    <w:basedOn w:val="1"/>
    <w:link w:val="28"/>
    <w:qFormat/>
    <w:uiPriority w:val="0"/>
    <w:pPr>
      <w:ind w:firstLine="420"/>
    </w:pPr>
    <w:rPr>
      <w:rFonts w:ascii="Times New Roman" w:hAnsi="Times New Roman"/>
      <w:szCs w:val="24"/>
    </w:rPr>
  </w:style>
  <w:style w:type="paragraph" w:styleId="6">
    <w:name w:val="annotation text"/>
    <w:basedOn w:val="1"/>
    <w:link w:val="32"/>
    <w:unhideWhenUsed/>
    <w:qFormat/>
    <w:uiPriority w:val="99"/>
    <w:pPr>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34"/>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Normal (Web)"/>
    <w:basedOn w:val="1"/>
    <w:qFormat/>
    <w:uiPriority w:val="99"/>
    <w:pPr>
      <w:widowControl/>
      <w:spacing w:before="100" w:beforeAutospacing="1" w:after="100" w:afterAutospacing="1"/>
    </w:pPr>
    <w:rPr>
      <w:rFonts w:ascii="宋体" w:hAnsi="宋体" w:cs="宋体"/>
      <w:kern w:val="0"/>
    </w:rPr>
  </w:style>
  <w:style w:type="paragraph" w:styleId="19">
    <w:name w:val="Title"/>
    <w:basedOn w:val="1"/>
    <w:next w:val="1"/>
    <w:qFormat/>
    <w:uiPriority w:val="0"/>
    <w:pPr>
      <w:spacing w:before="120" w:after="240"/>
      <w:outlineLvl w:val="0"/>
    </w:pPr>
    <w:rPr>
      <w:rFonts w:eastAsia="黑体"/>
      <w:b/>
      <w:bCs/>
      <w:sz w:val="32"/>
      <w:szCs w:val="32"/>
    </w:rPr>
  </w:style>
  <w:style w:type="paragraph" w:styleId="20">
    <w:name w:val="annotation subject"/>
    <w:basedOn w:val="6"/>
    <w:next w:val="6"/>
    <w:link w:val="33"/>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annotation reference"/>
    <w:basedOn w:val="23"/>
    <w:unhideWhenUsed/>
    <w:qFormat/>
    <w:uiPriority w:val="99"/>
    <w:rPr>
      <w:sz w:val="21"/>
      <w:szCs w:val="21"/>
    </w:rPr>
  </w:style>
  <w:style w:type="character" w:customStyle="1" w:styleId="26">
    <w:name w:val="页眉 Char"/>
    <w:basedOn w:val="23"/>
    <w:link w:val="12"/>
    <w:qFormat/>
    <w:uiPriority w:val="99"/>
    <w:rPr>
      <w:sz w:val="18"/>
      <w:szCs w:val="18"/>
    </w:rPr>
  </w:style>
  <w:style w:type="character" w:customStyle="1" w:styleId="27">
    <w:name w:val="页脚 Char"/>
    <w:basedOn w:val="23"/>
    <w:link w:val="11"/>
    <w:qFormat/>
    <w:uiPriority w:val="99"/>
    <w:rPr>
      <w:sz w:val="18"/>
      <w:szCs w:val="18"/>
    </w:rPr>
  </w:style>
  <w:style w:type="character" w:customStyle="1" w:styleId="28">
    <w:name w:val="正文缩进 Char"/>
    <w:link w:val="5"/>
    <w:qFormat/>
    <w:uiPriority w:val="0"/>
    <w:rPr>
      <w:rFonts w:ascii="Times New Roman" w:hAnsi="Times New Roman" w:eastAsia="宋体" w:cs="Times New Roman"/>
      <w:szCs w:val="24"/>
    </w:rPr>
  </w:style>
  <w:style w:type="character" w:customStyle="1" w:styleId="29">
    <w:name w:val="列表段落 字符"/>
    <w:link w:val="30"/>
    <w:qFormat/>
    <w:locked/>
    <w:uiPriority w:val="0"/>
    <w:rPr>
      <w:rFonts w:ascii="Calibri" w:hAnsi="Calibri"/>
    </w:rPr>
  </w:style>
  <w:style w:type="paragraph" w:customStyle="1" w:styleId="30">
    <w:name w:val="列出段落1"/>
    <w:basedOn w:val="1"/>
    <w:link w:val="29"/>
    <w:qFormat/>
    <w:uiPriority w:val="0"/>
    <w:pPr>
      <w:ind w:firstLine="420" w:firstLineChars="200"/>
    </w:pPr>
    <w:rPr>
      <w:rFonts w:eastAsiaTheme="minorEastAsia" w:cstheme="minorBidi"/>
    </w:rPr>
  </w:style>
  <w:style w:type="paragraph" w:customStyle="1" w:styleId="31">
    <w:name w:val="列出段落2"/>
    <w:basedOn w:val="1"/>
    <w:qFormat/>
    <w:uiPriority w:val="0"/>
    <w:pPr>
      <w:ind w:firstLine="420" w:firstLineChars="200"/>
    </w:pPr>
    <w:rPr>
      <w:rFonts w:ascii="Times New Roman" w:hAnsi="Times New Roman"/>
    </w:rPr>
  </w:style>
  <w:style w:type="character" w:customStyle="1" w:styleId="32">
    <w:name w:val="批注文字 Char"/>
    <w:basedOn w:val="23"/>
    <w:link w:val="6"/>
    <w:semiHidden/>
    <w:qFormat/>
    <w:uiPriority w:val="99"/>
    <w:rPr>
      <w:rFonts w:ascii="Calibri" w:hAnsi="Calibri" w:eastAsia="宋体" w:cs="Times New Roman"/>
    </w:rPr>
  </w:style>
  <w:style w:type="character" w:customStyle="1" w:styleId="33">
    <w:name w:val="批注主题 Char"/>
    <w:basedOn w:val="32"/>
    <w:link w:val="20"/>
    <w:semiHidden/>
    <w:qFormat/>
    <w:uiPriority w:val="99"/>
    <w:rPr>
      <w:rFonts w:ascii="Calibri" w:hAnsi="Calibri" w:eastAsia="宋体" w:cs="Times New Roman"/>
      <w:b/>
      <w:bCs/>
    </w:rPr>
  </w:style>
  <w:style w:type="character" w:customStyle="1" w:styleId="34">
    <w:name w:val="批注框文本 Char"/>
    <w:basedOn w:val="23"/>
    <w:link w:val="10"/>
    <w:semiHidden/>
    <w:qFormat/>
    <w:uiPriority w:val="99"/>
    <w:rPr>
      <w:rFonts w:ascii="Calibri" w:hAnsi="Calibri" w:eastAsia="宋体" w:cs="Times New Roman"/>
      <w:sz w:val="18"/>
      <w:szCs w:val="18"/>
    </w:rPr>
  </w:style>
  <w:style w:type="paragraph" w:customStyle="1" w:styleId="3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1850</Words>
  <Characters>2197</Characters>
  <Lines>20</Lines>
  <Paragraphs>5</Paragraphs>
  <TotalTime>0</TotalTime>
  <ScaleCrop>false</ScaleCrop>
  <LinksUpToDate>false</LinksUpToDate>
  <CharactersWithSpaces>2211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2021-12-29T03:04:00Z</dcterms:created>
  <dc:creator>钟老板</dc:creator>
  <cp:lastModifiedBy>胡玉兰</cp:lastModifiedBy>
  <cp:lastPrinted>2021-12-29T03:04:00Z</cp:lastPrinted>
  <dcterms:modified xsi:type="dcterms:W3CDTF">2022-04-21T03:39:06Z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BE1F9CE1F6F24476BBCCA75B1358E9BA</vt:lpwstr>
  </property>
</Properties>
</file>